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HOAI 2013 — Besondere Grundlagen des Honorars</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Das Honorar für Grundleistungen bei der Technischen Ausrüstung richtet sich für das jeweilige Objekt im Sinne des § 2 Absatz 1 Satz 1 nach der Summe der anrechenbaren Kosten der Anlagen jeder Anlagengruppe. Dies gilt für nutzungsspezifische Anlagen nur, wenn die Anlagen funktional gleichartig sind. Anrechenbar sind auch sonstige Maßnahmen für Technische Anlagen.</w:t>
      </w:r>
    </w:p>
    <w:p>
      <w:r>
        <w:t xml:space="preserve">(2) Umfasst ein Auftrag für unterschiedliche Objekte im Sinne des § 2 Absatz 1 Satz 1 mehrere Anlagen, die unter funktionalen und technischen Kriterien eine Einheit bilden, werden die anrechenbaren Kosten der Anlagen jeder Anlagengruppe zusammengefasst. Dies gilt für nutzungsspezifische Anlagen nur, wenn diese Anlagen funktional gleichartig sind. § 11 Absatz 1 ist nicht anzuwenden.</w:t>
      </w:r>
    </w:p>
    <w:p>
      <w:r>
        <w:t xml:space="preserve">(3) Umfasst ein Auftrag im Wesentlichen gleiche Anlagen, die unter weitgehend vergleichbaren Bedingungen für im Wesentlichen gleiche Objekte geplant werden, ist die Rechtsfolge des § 11 Absatz 3 anzuwenden. Umfasst ein Auftrag im Wesentlichen gleiche Anlagen, die bereits Gegenstand eines anderen Vertrags zwischen den Vertragsparteien waren, ist die Rechtsfolge des § 11 Absatz 4 anzuwenden.</w:t>
      </w:r>
    </w:p>
    <w:p>
      <w:r>
        <w:t xml:space="preserve">(4) Nicht anrechenbar sind die Kosten für die nichtöffentliche Erschließung und die Technischen Anlagen in Außenanlagen, soweit der Auftragnehmer diese nicht plant oder ihre Ausführung nicht überwacht.</w:t>
      </w:r>
    </w:p>
    <w:p>
      <w:r>
        <w:t xml:space="preserve">(5) Werden Teile der Technischen Ausrüstung in Baukonstruktionen ausgeführt, so können die Vertragsparteien in Textform vereinbaren, dass die Kosten hierfür ganz oder teilweise zu den anrechenbaren Kosten gehören. Satz 1 ist entsprechend für Bauteile der Kostengruppe Baukonstruktionen anzuwenden, deren Abmessung oder Konstruktion durch die Leistung der Technischen Ausrüstung wesentlich beeinflusst wird.</w:t>
      </w:r>
    </w:p>
    <w:p>
      <w:r>
        <w:rPr>
          <w:color w:val="555555"/>
          <w:sz w:val="17"/>
        </w:rPr>
        <w:t xml:space="preserve">Zitiervorschlag: § 54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