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50 HOAI 2013 — Besondere Grundlagen des Honorars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Bei Gebäuden und zugehörigen baulichen Anlagen sind 55 Prozent der Baukonstruktionskosten und 10 Prozent der Kosten der Technischen Anlagen anrechenbar.</w:t>
      </w:r>
    </w:p>
    <w:p>
      <w:r>
        <w:t xml:space="preserve">(2) Die Vertragsparteien können bei Gebäuden mit einem hohen Anteil an Kosten der Gründung und der Tragkonstruktionen in Textform vereinbaren, dass die anrechenbaren Kosten abweichend von Absatz 1 nach Absatz 3 ermittelt werden.</w:t>
      </w:r>
    </w:p>
    <w:p>
      <w:r>
        <w:t xml:space="preserve">(3) Bei Ingenieurbauwerken sind 90 Prozent der Baukonstruktionskosten und 15 Prozent der Kosten der Technischen Anlagen anrechenbar.</w:t>
      </w:r>
    </w:p>
    <w:p>
      <w:r>
        <w:t xml:space="preserve">(4) Für Traggerüste bei Ingenieurbauwerken sind die Herstellkosten einschließlich der zugehörigen Kosten für Baustelleneinrichtungen anrechenbar. Bei mehrfach verwendeten Bauteilen ist der Neuwert anrechenbar.</w:t>
      </w:r>
    </w:p>
    <w:p>
      <w:r>
        <w:t xml:space="preserve">(5) Die Vertragsparteien können vereinbaren, dass Kosten von Arbeiten, die nicht in den Absätzen 1 bis 3 erfasst sind, ganz oder teilweise anrechenbar sind, wenn der Auftragnehmer wegen dieser Arbeiten Mehrleistungen für das Tragwerk nach § 51 erbringt.</w:t>
      </w:r>
    </w:p>
    <w:p>
      <w:r>
        <w:rPr>
          <w:color w:val="555555"/>
          <w:sz w:val="17"/>
        </w:rPr>
        <w:t xml:space="preserve">Zitiervorschlag: § 50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https://recht.nulegal.eu/gesetze/HOAI%202013/50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