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HOAI 2013 — Honorarzonen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Grundleistungen der Flächen-, Objekt- oder Fachplanungen werden zur Berechnung der Honorare nach den jeweiligen Planungsanforderungen Honorarzonen zugeordnet, die von der Honorarzone I aus ansteigend den Schwierigkeitsgrad der Planung einstufen.</w:t>
      </w:r>
    </w:p>
    <w:p>
      <w:r>
        <w:t xml:space="preserve">(2) Die Honorarzonen sind anhand der Bewertungsmerkmale in den Honorarregelungen der jeweiligen Leistungsbilder der Teile 2 bis 4 und der Anlage 1 zu ermitteln. Die Zurechnung zu den einzelnen Honorarzonen ist nach Maßgabe der Bewertungsmerkmale und gegebenenfalls der Bewertungspunkte sowie unter Berücksichtigung der Regelbeispiele in den Objektlisten der Anlagen dieser Verordnung vorzunehmen.</w:t>
      </w:r>
    </w:p>
    <w:p>
      <w:r>
        <w:rPr>
          <w:color w:val="555555"/>
          <w:sz w:val="17"/>
        </w:rPr>
        <w:t xml:space="preserve">Zitiervorschlag: § 5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https://recht.nulegal.eu/gesetze/HOAI%202013/5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