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HOAI 2013 — Honorare für Grundleistungen bei Verkehrsanlagen</w:t>
      </w:r>
    </w:p>
    <w:p>
      <w:r>
        <w:rPr>
          <w:color w:val="555555"/>
          <w:sz w:val="18"/>
        </w:rPr>
        <w:t xml:space="preserve">Honorarordnung für Architekten und Ingenieure</w:t>
      </w:r>
    </w:p>
    <w:p>
      <w:r>
        <w:rPr>
          <w:color w:val="555555"/>
          <w:sz w:val="18"/>
        </w:rPr>
        <w:t xml:space="preserve">Stand: 01.01.2021 (konsolidierte Textfassung, kein amtliches Inkrafttretensdatum)</w:t>
      </w:r>
    </w:p>
    <w:p>
      <w:r>
        <w:t xml:space="preserve">(1) Für die in § 47 und der Anlage 13 Nummer 13.1 genannten Grundleistungen bei Verkehrsanlagen sind die in der nachstehenden Honorartafel aufgeführten Honorarspannen Orientierungswerte:</w:t>
      </w:r>
    </w:p>
    <w:p>
      <w:r>
        <w:rPr>
          <w:rFonts w:ascii="Courier New" w:hAnsi="Courier New"/>
          <w:sz w:val="17"/>
        </w:rPr>
        <w:t xml:space="preserve">Anrechenbare Kosten in Euro    Honorarzone I sehr geringe Anforderungen    Honorarzone II geringe Anforderungen    Honorarzone III durchschnittliche Anforderungen    Honorarzone IV hohe Anforderungen    Honorarzone V sehr hohe Anforderungen</w:t>
      </w:r>
    </w:p>
    <w:p>
      <w:r>
        <w:rPr>
          <w:rFonts w:ascii="Courier New" w:hAnsi="Courier New"/>
          <w:sz w:val="17"/>
        </w:rPr>
        <w:t xml:space="preserve">von    bis    von    bis    von    bis    von    bis    von    bis</w:t>
      </w:r>
    </w:p>
    <w:p>
      <w:r>
        <w:rPr>
          <w:rFonts w:ascii="Courier New" w:hAnsi="Courier New"/>
          <w:sz w:val="17"/>
        </w:rPr>
        <w:t xml:space="preserve">Euro    Euro    Euro    Euro    Euro</w:t>
      </w:r>
    </w:p>
    <w:p>
      <w:r>
        <w:rPr>
          <w:rFonts w:ascii="Courier New" w:hAnsi="Courier New"/>
          <w:sz w:val="17"/>
        </w:rPr>
        <w:t xml:space="preserve">25 000    3 882    4 624    4 624    5 366    5 366    6 108    6 108    6 793    6 793    7 535</w:t>
      </w:r>
    </w:p>
    <w:p>
      <w:r>
        <w:rPr>
          <w:rFonts w:ascii="Courier New" w:hAnsi="Courier New"/>
          <w:sz w:val="17"/>
        </w:rPr>
        <w:t xml:space="preserve">35 000    4 981    5 933    5 933    6 885    6 885    7 837    7 837    8 716    8 716    9 668</w:t>
      </w:r>
    </w:p>
    <w:p>
      <w:r>
        <w:rPr>
          <w:rFonts w:ascii="Courier New" w:hAnsi="Courier New"/>
          <w:sz w:val="17"/>
        </w:rPr>
        <w:t xml:space="preserve">50 000    6 487    7 727    7 727    8 967    8 967    10 207    10 207    11 352    11 352    12 592</w:t>
      </w:r>
    </w:p>
    <w:p>
      <w:r>
        <w:rPr>
          <w:rFonts w:ascii="Courier New" w:hAnsi="Courier New"/>
          <w:sz w:val="17"/>
        </w:rPr>
        <w:t xml:space="preserve">75 000    8 759    10 434    10 434    12 108    12 108    13 783    13 783    15 328    15 328    17 003</w:t>
      </w:r>
    </w:p>
    <w:p>
      <w:r>
        <w:rPr>
          <w:rFonts w:ascii="Courier New" w:hAnsi="Courier New"/>
          <w:sz w:val="17"/>
        </w:rPr>
        <w:t xml:space="preserve">100 000    10 839    12 911    12 911    14 983    14 983    17 056    17 056    18 968    18 968    21 041</w:t>
      </w:r>
    </w:p>
    <w:p>
      <w:r>
        <w:rPr>
          <w:rFonts w:ascii="Courier New" w:hAnsi="Courier New"/>
          <w:sz w:val="17"/>
        </w:rPr>
        <w:t xml:space="preserve">150 000    14 634    17 432    17 432    20 229    20 229    23 027    23 027    25 610    25 610    28 407</w:t>
      </w:r>
    </w:p>
    <w:p>
      <w:r>
        <w:rPr>
          <w:rFonts w:ascii="Courier New" w:hAnsi="Courier New"/>
          <w:sz w:val="17"/>
        </w:rPr>
        <w:t xml:space="preserve">200 000    18 106    21 567    21 567    25 029    25 029    28 490    28 490    31 685    31 685    35 147</w:t>
      </w:r>
    </w:p>
    <w:p>
      <w:r>
        <w:rPr>
          <w:rFonts w:ascii="Courier New" w:hAnsi="Courier New"/>
          <w:sz w:val="17"/>
        </w:rPr>
        <w:t xml:space="preserve">300 000    24 435    29 106    29 106    33 778    33 778    38 449    38 449    42 761    42 761    47 433</w:t>
      </w:r>
    </w:p>
    <w:p>
      <w:r>
        <w:rPr>
          <w:rFonts w:ascii="Courier New" w:hAnsi="Courier New"/>
          <w:sz w:val="17"/>
        </w:rPr>
        <w:t xml:space="preserve">500 000    35 622    42 433    42 433    49 243    49 243    56 053    56 053    62 339    62 339    69 149</w:t>
      </w:r>
    </w:p>
    <w:p>
      <w:r>
        <w:rPr>
          <w:rFonts w:ascii="Courier New" w:hAnsi="Courier New"/>
          <w:sz w:val="17"/>
        </w:rPr>
        <w:t xml:space="preserve">750 000    48 001    57 178    57 178    66 355    66 355    75 532    75 532    84 002    84 002    93 179</w:t>
      </w:r>
    </w:p>
    <w:p>
      <w:r>
        <w:rPr>
          <w:rFonts w:ascii="Courier New" w:hAnsi="Courier New"/>
          <w:sz w:val="17"/>
        </w:rPr>
        <w:t xml:space="preserve">1 000 000    59 267    70 597    70 597    81 928    81 928    93 258    93 258    103 717    103 717    115 047</w:t>
      </w:r>
    </w:p>
    <w:p>
      <w:r>
        <w:rPr>
          <w:rFonts w:ascii="Courier New" w:hAnsi="Courier New"/>
          <w:sz w:val="17"/>
        </w:rPr>
        <w:t xml:space="preserve">1 500 000    80 009    95 305    95 305    110 600    110 600    125 896    125 896    140 015    140 015    155 311</w:t>
      </w:r>
    </w:p>
    <w:p>
      <w:r>
        <w:rPr>
          <w:rFonts w:ascii="Courier New" w:hAnsi="Courier New"/>
          <w:sz w:val="17"/>
        </w:rPr>
        <w:t xml:space="preserve">2 000 000    98 962    117 881    117 881    136 800    136 800    155 719    155 719    173 183    173 183    192 102</w:t>
      </w:r>
    </w:p>
    <w:p>
      <w:r>
        <w:rPr>
          <w:rFonts w:ascii="Courier New" w:hAnsi="Courier New"/>
          <w:sz w:val="17"/>
        </w:rPr>
        <w:t xml:space="preserve">3 000 000    133 441    158 951    158 951    184 462    184 462    209 973    209 973    233 521    233 521    259 032</w:t>
      </w:r>
    </w:p>
    <w:p>
      <w:r>
        <w:rPr>
          <w:rFonts w:ascii="Courier New" w:hAnsi="Courier New"/>
          <w:sz w:val="17"/>
        </w:rPr>
        <w:t xml:space="preserve">5 000 000    194 094    231 200    231 200    268 306    268 306    305 412    305 412    339 664    339 664    376 770</w:t>
      </w:r>
    </w:p>
    <w:p>
      <w:r>
        <w:rPr>
          <w:rFonts w:ascii="Courier New" w:hAnsi="Courier New"/>
          <w:sz w:val="17"/>
        </w:rPr>
        <w:t xml:space="preserve">7 500 000    262 407    312 573    312 573    362 739    362 739    412 905    412 905    459 212    459 212    509 378</w:t>
      </w:r>
    </w:p>
    <w:p>
      <w:r>
        <w:rPr>
          <w:rFonts w:ascii="Courier New" w:hAnsi="Courier New"/>
          <w:sz w:val="17"/>
        </w:rPr>
        <w:t xml:space="preserve">10 000 000    324 978    387 107    387 107    449 235    449 235    511 363    511 363    568 712    568 712    630 840</w:t>
      </w:r>
    </w:p>
    <w:p>
      <w:r>
        <w:rPr>
          <w:rFonts w:ascii="Courier New" w:hAnsi="Courier New"/>
          <w:sz w:val="17"/>
        </w:rPr>
        <w:t xml:space="preserve">15 000 000    439 179    523 140    523 140    607 101    607 101    691 062    691 062    768 564    768 564    852 525</w:t>
      </w:r>
    </w:p>
    <w:p>
      <w:r>
        <w:rPr>
          <w:rFonts w:ascii="Courier New" w:hAnsi="Courier New"/>
          <w:sz w:val="17"/>
        </w:rPr>
        <w:t xml:space="preserve">20 000 000    543 619    647 546    647 546    751 473    751 473    855 401    855 401    951 333    951 333    1 055 260</w:t>
      </w:r>
    </w:p>
    <w:p>
      <w:r>
        <w:rPr>
          <w:rFonts w:ascii="Courier New" w:hAnsi="Courier New"/>
          <w:sz w:val="17"/>
        </w:rPr>
        <w:t xml:space="preserve">25 000 000    641 265    763 860    763 860    886 454    886 454    1 009 049    1 009 049    1 122 213    1 122 213    1 244 808</w:t>
      </w:r>
    </w:p>
    <w:p>
      <w:r>
        <w:t xml:space="preserve">(2) Welchen Honorarzonen die Grundleistungen zugeordnet werden, richtet sich nach folgenden Bewertungsmerkmalen:</w:t>
      </w:r>
    </w:p>
    <w:p>
      <w:pPr>
        <w:ind w:left="420"/>
      </w:pPr>
      <w:r>
        <w:t xml:space="preserve">1. geologische und baugrundtechnische Gegebenheiten,</w:t>
      </w:r>
    </w:p>
    <w:p>
      <w:pPr>
        <w:ind w:left="420"/>
      </w:pPr>
      <w:r>
        <w:t xml:space="preserve">2. technische Ausrüstung und Ausstattung,</w:t>
      </w:r>
    </w:p>
    <w:p>
      <w:pPr>
        <w:ind w:left="420"/>
      </w:pPr>
      <w:r>
        <w:t xml:space="preserve">3. Einbindung in die Umgebung oder das Objektumfeld,</w:t>
      </w:r>
    </w:p>
    <w:p>
      <w:pPr>
        <w:ind w:left="420"/>
      </w:pPr>
      <w:r>
        <w:t xml:space="preserve">4. Umfang der Funktionsbereiche oder der konstruktiven oder technischen Anforderungen,</w:t>
      </w:r>
    </w:p>
    <w:p>
      <w:pPr>
        <w:ind w:left="420"/>
      </w:pPr>
      <w:r>
        <w:t xml:space="preserve">5. fachspezifische Bedingungen.</w:t>
      </w:r>
    </w:p>
    <w:p>
      <w:r>
        <w:t xml:space="preserve">(3) Sind für Verkehrsanlagen Bewertungsmerkmale aus mehreren Honorarzonen anwendbar und bestehen deswegen Zweifel, welcher Honorarzone das Objekt zugeordnet werden kann, so ist zunächst die Anzahl der Bewertungspunkte zu ermitteln. Zur Ermittlung der Bewertungspunkte werden die Bewertungsmerkmale wie folgt gewichtet:</w:t>
      </w:r>
    </w:p>
    <w:p>
      <w:pPr>
        <w:ind w:left="420"/>
      </w:pPr>
      <w:r>
        <w:t xml:space="preserve">1. die Bewertungsmerkmale gemäß Absatz 2 Nummer 1, 2 mit bis zu 5 Punkten,</w:t>
      </w:r>
    </w:p>
    <w:p>
      <w:pPr>
        <w:ind w:left="420"/>
      </w:pPr>
      <w:r>
        <w:t xml:space="preserve">2. das Bewertungsmerkmal gemäß Absatz 2 Nummer 3 mit bis zu 15 Punkten,</w:t>
      </w:r>
    </w:p>
    <w:p>
      <w:pPr>
        <w:ind w:left="420"/>
      </w:pPr>
      <w:r>
        <w:t xml:space="preserve">3. das Bewertungsmerkmal gemäß Absatz 2 Nummer 4 mit bis zu 10 Punkten,</w:t>
      </w:r>
    </w:p>
    <w:p>
      <w:pPr>
        <w:ind w:left="420"/>
      </w:pPr>
      <w:r>
        <w:t xml:space="preserve">4. das Bewertungsmerkmal gemäß Absatz 2 Nummer 5 mit bis zu 5 Punkten,</w:t>
      </w:r>
    </w:p>
    <w:p>
      <w:r>
        <w:t xml:space="preserve">(4) Die Verkehrsanlage ist anhand der nach Absatz 3 ermittelten Bewertungspunkte einer der Honorarzonen zuzuordnen:</w:t>
      </w:r>
    </w:p>
    <w:p>
      <w:pPr>
        <w:ind w:left="420"/>
      </w:pPr>
      <w:r>
        <w:t xml:space="preserve">1. Honorarzone I: bis zu 10 Punkte,</w:t>
      </w:r>
    </w:p>
    <w:p>
      <w:pPr>
        <w:ind w:left="420"/>
      </w:pPr>
      <w:r>
        <w:t xml:space="preserve">2. Honorarzone II: 11 bis 17 Punkte,</w:t>
      </w:r>
    </w:p>
    <w:p>
      <w:pPr>
        <w:ind w:left="420"/>
      </w:pPr>
      <w:r>
        <w:t xml:space="preserve">3. Honorarzone III: 18 bis 25 Punkte,</w:t>
      </w:r>
    </w:p>
    <w:p>
      <w:pPr>
        <w:ind w:left="420"/>
      </w:pPr>
      <w:r>
        <w:t xml:space="preserve">4. Honorarzone IV: 26 bis 33 Punkte,</w:t>
      </w:r>
    </w:p>
    <w:p>
      <w:pPr>
        <w:ind w:left="420"/>
      </w:pPr>
      <w:r>
        <w:t xml:space="preserve">5. Honorarzone V: 34 bis 40 Punkte.</w:t>
      </w:r>
    </w:p>
    <w:p>
      <w:r>
        <w:t xml:space="preserve">(5) Für die Zuordnung zu den Honorarzonen ist die Objektliste der Anlage 13 Nummer 13.2 zu berücksichtigen.</w:t>
      </w:r>
    </w:p>
    <w:p>
      <w:r>
        <w:t xml:space="preserve">(6) Für Umbauten und Modernisierungen von Verkehrsanlagen kann bei einem durchschnittlichen Schwierigkeitsgrad ein Zuschlag gemäß § 6 Absatz 2 Satz 3 bis 33 Prozent in Textform vereinbart werden.</w:t>
      </w:r>
    </w:p>
    <w:p>
      <w:r>
        <w:rPr>
          <w:color w:val="555555"/>
          <w:sz w:val="17"/>
        </w:rPr>
        <w:t xml:space="preserve">Zitiervorschlag: § 48 HOAI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https://recht.nulegal.eu/gesetze/HOAI%202013/48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