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Verkehrsanlagen sind</w:t>
      </w:r>
    </w:p>
    <w:p>
      <w:pPr>
        <w:ind w:left="420"/>
      </w:pPr>
      <w:r>
        <w:t xml:space="preserve">1. Anlagen des Straßenverkehrs ausgenommen selbstständige Rad-, Geh- und Wirtschaftswege und Freianlagen nach § 39 Absatz 1,</w:t>
      </w:r>
    </w:p>
    <w:p>
      <w:pPr>
        <w:ind w:left="420"/>
      </w:pPr>
      <w:r>
        <w:t xml:space="preserve">2. Anlagen des Schienenverkehrs,</w:t>
      </w:r>
    </w:p>
    <w:p>
      <w:pPr>
        <w:ind w:left="420"/>
      </w:pPr>
      <w:r>
        <w:t xml:space="preserve">3. Anlagen des Flugverkehrs.</w:t>
      </w:r>
    </w:p>
    <w:p>
      <w:r>
        <w:rPr>
          <w:color w:val="555555"/>
          <w:sz w:val="17"/>
        </w:rPr>
        <w:t xml:space="preserve">Zitiervorschlag: § 45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