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HOAI 2013 — Honorare für Grundleistungen bei Ingenieurbauwerken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43 und der Anlage 12 Nummer 12.1 genannten Grundleistungen bei Ingenieurbauwerken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25 000    3 449    4 109    4 109    4 768    4 768    5 428    5 428    6 036    6 036    6 696</w:t>
      </w:r>
    </w:p>
    <w:p>
      <w:r>
        <w:rPr>
          <w:rFonts w:ascii="Courier New" w:hAnsi="Courier New"/>
          <w:sz w:val="17"/>
        </w:rPr>
        <w:t xml:space="preserve">35 000    4 475    5 331    5 331    6 186    6 186    7 042    7 042    7 831    7 831    8 687</w:t>
      </w:r>
    </w:p>
    <w:p>
      <w:r>
        <w:rPr>
          <w:rFonts w:ascii="Courier New" w:hAnsi="Courier New"/>
          <w:sz w:val="17"/>
        </w:rPr>
        <w:t xml:space="preserve">50 000    5 897    7 024    7 024    8 152    8 152    9 279    9 279    10 320    10 320    11 447</w:t>
      </w:r>
    </w:p>
    <w:p>
      <w:r>
        <w:rPr>
          <w:rFonts w:ascii="Courier New" w:hAnsi="Courier New"/>
          <w:sz w:val="17"/>
        </w:rPr>
        <w:t xml:space="preserve">75 000    8 069    9 611    9 611    11 154    11 154    12 697    12 697    14 121    14 121    15 663</w:t>
      </w:r>
    </w:p>
    <w:p>
      <w:r>
        <w:rPr>
          <w:rFonts w:ascii="Courier New" w:hAnsi="Courier New"/>
          <w:sz w:val="17"/>
        </w:rPr>
        <w:t xml:space="preserve">100 000    10 079    12 005    12 005    13 932    13 932    15 859    15 859    17 637    17 637    19 564</w:t>
      </w:r>
    </w:p>
    <w:p>
      <w:r>
        <w:rPr>
          <w:rFonts w:ascii="Courier New" w:hAnsi="Courier New"/>
          <w:sz w:val="17"/>
        </w:rPr>
        <w:t xml:space="preserve">150 000    13 786    16 422    16 422    19 058    19 058    21 693    21 693    24 126    24 126    26 762</w:t>
      </w:r>
    </w:p>
    <w:p>
      <w:r>
        <w:rPr>
          <w:rFonts w:ascii="Courier New" w:hAnsi="Courier New"/>
          <w:sz w:val="17"/>
        </w:rPr>
        <w:t xml:space="preserve">200 000    17 215    20 506    20 506    23 797    23 797    27 088    27 088    30 126    30 126    33 417</w:t>
      </w:r>
    </w:p>
    <w:p>
      <w:r>
        <w:rPr>
          <w:rFonts w:ascii="Courier New" w:hAnsi="Courier New"/>
          <w:sz w:val="17"/>
        </w:rPr>
        <w:t xml:space="preserve">300 000    23 534    28 033    28 033    32 532    32 532    37 031    37 031    41 185    41 185    45 684</w:t>
      </w:r>
    </w:p>
    <w:p>
      <w:r>
        <w:rPr>
          <w:rFonts w:ascii="Courier New" w:hAnsi="Courier New"/>
          <w:sz w:val="17"/>
        </w:rPr>
        <w:t xml:space="preserve">500 000    34 865    41 530    41 530    48 195    48 195    54 861    54 861    61 013    61 013    67 679</w:t>
      </w:r>
    </w:p>
    <w:p>
      <w:r>
        <w:rPr>
          <w:rFonts w:ascii="Courier New" w:hAnsi="Courier New"/>
          <w:sz w:val="17"/>
        </w:rPr>
        <w:t xml:space="preserve">750 000    47 576    56 672    56 672    65 767    65 767    74 863    74 863    83 258    83 258    92 354</w:t>
      </w:r>
    </w:p>
    <w:p>
      <w:r>
        <w:rPr>
          <w:rFonts w:ascii="Courier New" w:hAnsi="Courier New"/>
          <w:sz w:val="17"/>
        </w:rPr>
        <w:t xml:space="preserve">1 000 000    59 264    70 594    70 594    81 924    81 924    93 254    93 254    103 712    103 712    115 042</w:t>
      </w:r>
    </w:p>
    <w:p>
      <w:r>
        <w:rPr>
          <w:rFonts w:ascii="Courier New" w:hAnsi="Courier New"/>
          <w:sz w:val="17"/>
        </w:rPr>
        <w:t xml:space="preserve">1 500 000    80 998    96 482    96 482    111 967    111 967    127 452    127 452    141 746    141 746    157 230</w:t>
      </w:r>
    </w:p>
    <w:p>
      <w:r>
        <w:rPr>
          <w:rFonts w:ascii="Courier New" w:hAnsi="Courier New"/>
          <w:sz w:val="17"/>
        </w:rPr>
        <w:t xml:space="preserve">2 000 000    101 054    120 373    120 373    139 692    139 692    159 011    159 011    176 844    176 844    196 163</w:t>
      </w:r>
    </w:p>
    <w:p>
      <w:r>
        <w:rPr>
          <w:rFonts w:ascii="Courier New" w:hAnsi="Courier New"/>
          <w:sz w:val="17"/>
        </w:rPr>
        <w:t xml:space="preserve">3 000 000    137 907    164 272    164 272    190 636    190 636    217 001    217 001    241 338    241 338    267 702</w:t>
      </w:r>
    </w:p>
    <w:p>
      <w:r>
        <w:rPr>
          <w:rFonts w:ascii="Courier New" w:hAnsi="Courier New"/>
          <w:sz w:val="17"/>
        </w:rPr>
        <w:t xml:space="preserve">5 000 000    203 584    242 504    242 504    281 425    281 425    320 345    320 345    356 272    356 272    395 192</w:t>
      </w:r>
    </w:p>
    <w:p>
      <w:r>
        <w:rPr>
          <w:rFonts w:ascii="Courier New" w:hAnsi="Courier New"/>
          <w:sz w:val="17"/>
        </w:rPr>
        <w:t xml:space="preserve">7 500 000    278 415    331 642    331 642    384 868    384 868    438 095    438 095    487 227    487 227    540 453</w:t>
      </w:r>
    </w:p>
    <w:p>
      <w:r>
        <w:rPr>
          <w:rFonts w:ascii="Courier New" w:hAnsi="Courier New"/>
          <w:sz w:val="17"/>
        </w:rPr>
        <w:t xml:space="preserve">10 000 000    347 568    414 014    414 014    480 461    480 461    546 908    546 908    608 244    608 244    674 690</w:t>
      </w:r>
    </w:p>
    <w:p>
      <w:r>
        <w:rPr>
          <w:rFonts w:ascii="Courier New" w:hAnsi="Courier New"/>
          <w:sz w:val="17"/>
        </w:rPr>
        <w:t xml:space="preserve">15 000 000    474 901    565 691    565 691    656 480    656 480    747 270    747 270    831 076    831 076    921 866</w:t>
      </w:r>
    </w:p>
    <w:p>
      <w:r>
        <w:rPr>
          <w:rFonts w:ascii="Courier New" w:hAnsi="Courier New"/>
          <w:sz w:val="17"/>
        </w:rPr>
        <w:t xml:space="preserve">20 000 000    592 324    705 563    705 563    818 801    818 801    932 040    932 040    1 036 568    1 036 568    1 149 806</w:t>
      </w:r>
    </w:p>
    <w:p>
      <w:r>
        <w:rPr>
          <w:rFonts w:ascii="Courier New" w:hAnsi="Courier New"/>
          <w:sz w:val="17"/>
        </w:rPr>
        <w:t xml:space="preserve">25 000 000    702 770    837 123    837 123    971 476    971 476    1 105 829    1 105 829    1 229 848    1 229 848    1 364 201</w:t>
      </w:r>
    </w:p>
    <w:p>
      <w:r>
        <w:t xml:space="preserve">(2) Welchen Honorarzonen die Grundleistungen zugeordnet werden, richtet sich nach folgenden Bewertungsmerkmalen:</w:t>
      </w:r>
    </w:p>
    <w:p>
      <w:pPr>
        <w:ind w:left="420"/>
      </w:pPr>
      <w:r>
        <w:t xml:space="preserve">1. geologische und baugrundtechnische Gegebenheiten,</w:t>
      </w:r>
    </w:p>
    <w:p>
      <w:pPr>
        <w:ind w:left="420"/>
      </w:pPr>
      <w:r>
        <w:t xml:space="preserve">2. technische Ausrüstung und Ausstattung,</w:t>
      </w:r>
    </w:p>
    <w:p>
      <w:pPr>
        <w:ind w:left="420"/>
      </w:pPr>
      <w:r>
        <w:t xml:space="preserve">3. Einbindung in die Umgebung oder in das Objektumfeld,</w:t>
      </w:r>
    </w:p>
    <w:p>
      <w:pPr>
        <w:ind w:left="420"/>
      </w:pPr>
      <w:r>
        <w:t xml:space="preserve">4. Umfang der Funktionsbereiche oder der konstruktiven oder technischen Anforderungen,</w:t>
      </w:r>
    </w:p>
    <w:p>
      <w:pPr>
        <w:ind w:left="420"/>
      </w:pPr>
      <w:r>
        <w:t xml:space="preserve">5. fachspezifische Bedingungen.</w:t>
      </w:r>
    </w:p>
    <w:p>
      <w:r>
        <w:t xml:space="preserve">(3) Sind für Ingenieurbauwerke Bewertungsmerkmale aus mehreren Honorarzonen anwendbar und bestehen deswegen Zweifel, welcher Honorarzone das Objekt zugeordnet werden kann, so ist zunächst die Anzahl der Bewertungspunkte zu ermitteln. Zur Ermittlung der Bewertungspunkte werden die Bewertungsmerkmale wie folgt gewichtet:</w:t>
      </w:r>
    </w:p>
    <w:p>
      <w:pPr>
        <w:ind w:left="420"/>
      </w:pPr>
      <w:r>
        <w:t xml:space="preserve">1. die Bewertungsmerkmale gemäß Absatz 2 Nummer 1, 2 und 3 mit bis zu 5 Punkten,</w:t>
      </w:r>
    </w:p>
    <w:p>
      <w:pPr>
        <w:ind w:left="420"/>
      </w:pPr>
      <w:r>
        <w:t xml:space="preserve">2. das Bewertungsmerkmal gemäß Absatz 2 Nummer 4 mit bis zu 10 Punkten,</w:t>
      </w:r>
    </w:p>
    <w:p>
      <w:pPr>
        <w:ind w:left="420"/>
      </w:pPr>
      <w:r>
        <w:t xml:space="preserve">3. das Bewertungsmerkmal gemäß Absatz 2 Nummer 5 mit bis zu 15 Punkten.</w:t>
      </w:r>
    </w:p>
    <w:p>
      <w:r>
        <w:t xml:space="preserve">(4) Das Ingenieurbauwerk ist anhand der nach Absatz 3 ermittelten Bewertungspunkte einer der Honorarzonen zuzuordnen:</w:t>
      </w:r>
    </w:p>
    <w:p>
      <w:pPr>
        <w:ind w:left="420"/>
      </w:pPr>
      <w:r>
        <w:t xml:space="preserve">1. Honorarzone I: bis zu 10 Punkte,</w:t>
      </w:r>
    </w:p>
    <w:p>
      <w:pPr>
        <w:ind w:left="420"/>
      </w:pPr>
      <w:r>
        <w:t xml:space="preserve">2. Honorarzone II: 11 bis 17 Punkte,</w:t>
      </w:r>
    </w:p>
    <w:p>
      <w:pPr>
        <w:ind w:left="420"/>
      </w:pPr>
      <w:r>
        <w:t xml:space="preserve">3. Honorarzone III: 18 bis 25 Punkte,</w:t>
      </w:r>
    </w:p>
    <w:p>
      <w:pPr>
        <w:ind w:left="420"/>
      </w:pPr>
      <w:r>
        <w:t xml:space="preserve">4. Honorarzone IV: 26 bis 33 Punkte,</w:t>
      </w:r>
    </w:p>
    <w:p>
      <w:pPr>
        <w:ind w:left="420"/>
      </w:pPr>
      <w:r>
        <w:t xml:space="preserve">5. Honorarzone V: 34 bis 40 Punkte.</w:t>
      </w:r>
    </w:p>
    <w:p>
      <w:r>
        <w:t xml:space="preserve">(5) Für die Zuordnung zu den Honorarzonen ist die Objektliste der Anlage 12 Nummer 12.2 zu berücksichtigen.</w:t>
      </w:r>
    </w:p>
    <w:p>
      <w:r>
        <w:t xml:space="preserve">(6) Für Umbauten und Modernisierungen von Ingenieurbauwerken kann bei einem durchschnittlichen Schwierigkeitsgrad ein Zuschlag gemäß § 6 Absatz 2 Satz 3 bis 33 Prozent in Textform vereinbart werden.</w:t>
      </w:r>
    </w:p>
    <w:p>
      <w:r>
        <w:t xml:space="preserve">(7) (weggefallen)</w:t>
      </w:r>
    </w:p>
    <w:p>
      <w:r>
        <w:rPr>
          <w:color w:val="555555"/>
          <w:sz w:val="17"/>
        </w:rPr>
        <w:t xml:space="preserve">Zitiervorschlag: § 44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