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HOAI 2013 — Leistungsbild Ingenieurbauwerke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§ 34 Absatz 1 gilt entsprechend. Die Grundleistungen für Ingenieurbauwerke sind in neun Leistungsphasen unterteilt und werden wie folgt in Prozentsätzen der Honorare des § 44 bewertet:</w:t>
      </w:r>
    </w:p>
    <w:p>
      <w:pPr>
        <w:ind w:left="420"/>
      </w:pPr>
      <w:r>
        <w:t xml:space="preserve">1. für die Leistungsphase 1 (Grundlagenermittlung) mit 2 Prozent,</w:t>
      </w:r>
    </w:p>
    <w:p>
      <w:pPr>
        <w:ind w:left="420"/>
      </w:pPr>
      <w:r>
        <w:t xml:space="preserve">2. für die Leistungsphase 2 (Vorplanung) mit 20 Prozent,</w:t>
      </w:r>
    </w:p>
    <w:p>
      <w:pPr>
        <w:ind w:left="420"/>
      </w:pPr>
      <w:r>
        <w:t xml:space="preserve">3. für die Leistungsphase 3 (Entwurfsplanung) mit 25 Prozent,</w:t>
      </w:r>
    </w:p>
    <w:p>
      <w:pPr>
        <w:ind w:left="420"/>
      </w:pPr>
      <w:r>
        <w:t xml:space="preserve">4. für die Leistungsphase 4 (Genehmigungsplanung) mit 5 Prozent,</w:t>
      </w:r>
    </w:p>
    <w:p>
      <w:pPr>
        <w:ind w:left="420"/>
      </w:pPr>
      <w:r>
        <w:t xml:space="preserve">5. für die Leistungsphase 5 (Ausführungsplanung) mit 15 Prozent,</w:t>
      </w:r>
    </w:p>
    <w:p>
      <w:pPr>
        <w:ind w:left="420"/>
      </w:pPr>
      <w:r>
        <w:t xml:space="preserve">6. für die Leistungsphase 6 (Vorbereitung der Vergabe) mit 13 Prozent,</w:t>
      </w:r>
    </w:p>
    <w:p>
      <w:pPr>
        <w:ind w:left="420"/>
      </w:pPr>
      <w:r>
        <w:t xml:space="preserve">7. für die Leistungsphase 7 (Mitwirkung bei der Vergabe) mit 4 Prozent,</w:t>
      </w:r>
    </w:p>
    <w:p>
      <w:pPr>
        <w:ind w:left="420"/>
      </w:pPr>
      <w:r>
        <w:t xml:space="preserve">8. für die Leistungsphase 8 (Bauoberleitung) mit 15 Prozent,</w:t>
      </w:r>
    </w:p>
    <w:p>
      <w:pPr>
        <w:ind w:left="420"/>
      </w:pPr>
      <w:r>
        <w:t xml:space="preserve">9. für die Leistungsphase 9 (Objektbetreuung) mit 1 Prozent.</w:t>
      </w:r>
    </w:p>
    <w:p>
      <w:r>
        <w:t xml:space="preserve">(2) Abweichend von Absatz 1 Nummer 2 wird die Leistungsphase 2 bei Objekten nach § 41 Nummer 6 und 7, die eine Tragwerksplanung erfordern, mit 10 Prozent bewertet.</w:t>
      </w:r>
    </w:p>
    <w:p>
      <w:r>
        <w:t xml:space="preserve">(3) Die Vertragsparteien können abweichend von Absatz 1 in Textform vereinbaren, dass</w:t>
      </w:r>
    </w:p>
    <w:p>
      <w:pPr>
        <w:ind w:left="420"/>
      </w:pPr>
      <w:r>
        <w:t xml:space="preserve">1. die Leistungsphase 4 mit 5 bis 8 Prozent bewertet wird, wenn dafür ein eigenständiges Planfeststellungsverfahren erforderlich ist,</w:t>
      </w:r>
    </w:p>
    <w:p>
      <w:pPr>
        <w:ind w:left="420"/>
      </w:pPr>
      <w:r>
        <w:t xml:space="preserve">2. die Leistungsphase 5 mit 15 bis 35 Prozent bewertet wird, wenn ein überdurchschnittlicher Aufwand an Ausführungszeichnungen erforderlich wird.</w:t>
      </w:r>
    </w:p>
    <w:p>
      <w:r>
        <w:t xml:space="preserve">(4) Anlage 12 Nummer 12.1 regelt die Grundleistungen jeder Leistungsphase und enthält Beispiele für Besondere Leistungen.</w:t>
      </w:r>
    </w:p>
    <w:p>
      <w:r>
        <w:rPr>
          <w:color w:val="555555"/>
          <w:sz w:val="17"/>
        </w:rPr>
        <w:t xml:space="preserve">Zitiervorschlag: § 43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