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HOAI 2013 — Besondere Grundlagen des Honorars</w:t>
      </w:r>
    </w:p>
    <w:p>
      <w:r>
        <w:rPr>
          <w:color w:val="555555"/>
          <w:sz w:val="18"/>
        </w:rPr>
        <w:t xml:space="preserve">Honorarordnung für Architekten und Ingenieure</w:t>
      </w:r>
    </w:p>
    <w:p>
      <w:r>
        <w:rPr>
          <w:color w:val="555555"/>
          <w:sz w:val="18"/>
        </w:rPr>
        <w:t xml:space="preserve">Stand: 10.06.2019 (konsolidierte Textfassung, kein amtliches Inkrafttretensdatum)</w:t>
      </w:r>
    </w:p>
    <w:p>
      <w:r>
        <w:t xml:space="preserve">(1) Für Grundleistungen bei Ingenieurbauwerken sind die Kosten der Baukonstruktion anrechenbar. Die Kosten für die Anlagen der Maschinentechnik, die der Zweckbestimmung des Ingenieurbauwerks dienen, sind anrechenbar, soweit der Auftragnehmer diese plant oder deren Ausführung überwacht.</w:t>
      </w:r>
    </w:p>
    <w:p>
      <w:r>
        <w:t xml:space="preserve">(2) Für Grundleistungen bei Ingenieurbauwerken sind auch die Kosten für Technische Anlagen, die der Auftragnehmer nicht fachlich plant oder deren Ausführung der Auftragnehmer nicht fachlich überwacht,</w:t>
      </w:r>
    </w:p>
    <w:p>
      <w:pPr>
        <w:ind w:left="420"/>
      </w:pPr>
      <w:r>
        <w:t xml:space="preserve">1. vollständig anrechenbar bis zum Betrag von 25 Prozent der sonstigen anrechenbaren Kosten und</w:t>
      </w:r>
    </w:p>
    <w:p>
      <w:pPr>
        <w:ind w:left="420"/>
      </w:pPr>
      <w:r>
        <w:t xml:space="preserve">2. zur Hälfte anrechenbar mit dem Betrag, der 25 Prozent der sonstigen anrechenbaren Kosten übersteigt.</w:t>
      </w:r>
    </w:p>
    <w:p>
      <w:r>
        <w:t xml:space="preserve">(3) Nicht anrechenbar sind, soweit der Auftragnehmer die Anlagen weder plant noch ihre Ausführung überwacht, die Kosten für</w:t>
      </w:r>
    </w:p>
    <w:p>
      <w:pPr>
        <w:ind w:left="420"/>
      </w:pPr>
      <w:r>
        <w:t xml:space="preserve">1. das Herrichten des Grundstücks,</w:t>
      </w:r>
    </w:p>
    <w:p>
      <w:pPr>
        <w:ind w:left="420"/>
      </w:pPr>
      <w:r>
        <w:t xml:space="preserve">2. die öffentliche und die nichtöffentliche Erschließung, die Außenanlagen, das Umlegen und Verlegen von Leitungen,</w:t>
      </w:r>
    </w:p>
    <w:p>
      <w:pPr>
        <w:ind w:left="420"/>
      </w:pPr>
      <w:r>
        <w:t xml:space="preserve">3. verkehrsregelnde Maßnahmen während der Bauzeit,</w:t>
      </w:r>
    </w:p>
    <w:p>
      <w:pPr>
        <w:ind w:left="420"/>
      </w:pPr>
      <w:r>
        <w:t xml:space="preserve">4. die Ausstattung und Nebenanlagen von Ingenieurbauwerken.</w:t>
      </w:r>
    </w:p>
    <w:p>
      <w:r>
        <w:rPr>
          <w:color w:val="555555"/>
          <w:sz w:val="17"/>
        </w:rPr>
        <w:t xml:space="preserve">Zitiervorschlag: § 42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