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HOAI 2013 — Anwendungsbereich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Ingenieurbauwerke umfassen:</w:t>
      </w:r>
    </w:p>
    <w:p>
      <w:pPr>
        <w:ind w:left="420"/>
      </w:pPr>
      <w:r>
        <w:t xml:space="preserve">1. Bauwerke und Anlagen der Wasserversorgung,</w:t>
      </w:r>
    </w:p>
    <w:p>
      <w:pPr>
        <w:ind w:left="420"/>
      </w:pPr>
      <w:r>
        <w:t xml:space="preserve">2. Bauwerke und Anlagen der Abwasserentsorgung,</w:t>
      </w:r>
    </w:p>
    <w:p>
      <w:pPr>
        <w:ind w:left="420"/>
      </w:pPr>
      <w:r>
        <w:t xml:space="preserve">3. Bauwerke und Anlagen des Wasserbaus ausgenommen Freianlagen nach § 39 Absatz 1,</w:t>
      </w:r>
    </w:p>
    <w:p>
      <w:pPr>
        <w:ind w:left="420"/>
      </w:pPr>
      <w:r>
        <w:t xml:space="preserve">4. Bauwerke und Anlagen für Ver- und Entsorgung mit Gasen, Feststoffen und wassergefährdenden Flüssigkeiten, ausgenommen Anlagen der Technischen Ausrüstung nach § 53 Absatz 2,</w:t>
      </w:r>
    </w:p>
    <w:p>
      <w:pPr>
        <w:ind w:left="420"/>
      </w:pPr>
      <w:r>
        <w:t xml:space="preserve">5. Bauwerke und Anlagen der Abfallentsorgung,</w:t>
      </w:r>
    </w:p>
    <w:p>
      <w:pPr>
        <w:ind w:left="420"/>
      </w:pPr>
      <w:r>
        <w:t xml:space="preserve">6. konstruktive Ingenieurbauwerke für Verkehrsanlagen,</w:t>
      </w:r>
    </w:p>
    <w:p>
      <w:pPr>
        <w:ind w:left="420"/>
      </w:pPr>
      <w:r>
        <w:t xml:space="preserve">7. sonstige Einzelbauwerke ausgenommen Gebäude und Freileitungsmaste.</w:t>
      </w:r>
    </w:p>
    <w:p>
      <w:r>
        <w:rPr>
          <w:color w:val="555555"/>
          <w:sz w:val="17"/>
        </w:rPr>
        <w:t xml:space="preserve">Zitiervorschlag: § 41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