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HOAI 2013 — Honorare für Grundleistungen bei Freianlagen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39 und der Anlage 11 Nummer 11.1 genannten Grundleistungen für Freianlagen sind die in der nachstehenden Honorartafel aufgeführten Honorarspannen Orientierungswerte:</w:t>
      </w:r>
    </w:p>
    <w:p>
      <w:r>
        <w:rPr>
          <w:rFonts w:ascii="Courier New" w:hAnsi="Courier New"/>
          <w:sz w:val="17"/>
        </w:rPr>
        <w:t xml:space="preserve">Anrechenbare Kosten in Euro    Honorarzone I sehr geringe Anforderungen    Honorarzone II geringe Anforderungen    Honorarzone III durchschnittliche Anforderungen    Honorarzone IV hohe Anforderungen    Honorarzone V sehr hohe Anforderungen</w:t>
      </w:r>
    </w:p>
    <w:p>
      <w:r>
        <w:rPr>
          <w:rFonts w:ascii="Courier New" w:hAnsi="Courier New"/>
          <w:sz w:val="17"/>
        </w:rPr>
        <w:t xml:space="preserve">von    bis    von    bis    von    bis    von    bis    von    bis</w:t>
      </w:r>
    </w:p>
    <w:p>
      <w:r>
        <w:rPr>
          <w:rFonts w:ascii="Courier New" w:hAnsi="Courier New"/>
          <w:sz w:val="17"/>
        </w:rPr>
        <w:t xml:space="preserve">Euro    Euro    Euro    Euro    Euro</w:t>
      </w:r>
    </w:p>
    <w:p>
      <w:r>
        <w:rPr>
          <w:rFonts w:ascii="Courier New" w:hAnsi="Courier New"/>
          <w:sz w:val="17"/>
        </w:rPr>
        <w:t xml:space="preserve">20 000    3 643    4 348    4 348    5 229    5 229    6 521    6 521    7 403    7 403    8 108</w:t>
      </w:r>
    </w:p>
    <w:p>
      <w:r>
        <w:rPr>
          <w:rFonts w:ascii="Courier New" w:hAnsi="Courier New"/>
          <w:sz w:val="17"/>
        </w:rPr>
        <w:t xml:space="preserve">25 000    4 406    5 259    5 259    6 325    6 325    7 888    7 888    8 954    8 954    9 807</w:t>
      </w:r>
    </w:p>
    <w:p>
      <w:r>
        <w:rPr>
          <w:rFonts w:ascii="Courier New" w:hAnsi="Courier New"/>
          <w:sz w:val="17"/>
        </w:rPr>
        <w:t xml:space="preserve">30 000    5 147    6 143    6 143    7 388    7 388    9 215    9 215    10 460    10 460    11 456</w:t>
      </w:r>
    </w:p>
    <w:p>
      <w:r>
        <w:rPr>
          <w:rFonts w:ascii="Courier New" w:hAnsi="Courier New"/>
          <w:sz w:val="17"/>
        </w:rPr>
        <w:t xml:space="preserve">35 000    5 870    7 006    7 006    8 426    8 426    10 508    10 508    11 928    11 928    13 064</w:t>
      </w:r>
    </w:p>
    <w:p>
      <w:r>
        <w:rPr>
          <w:rFonts w:ascii="Courier New" w:hAnsi="Courier New"/>
          <w:sz w:val="17"/>
        </w:rPr>
        <w:t xml:space="preserve">40 000    6 577    7 850    7 850    9 441    9 441    11 774    11 774    13 365    13 365    14 638</w:t>
      </w:r>
    </w:p>
    <w:p>
      <w:r>
        <w:rPr>
          <w:rFonts w:ascii="Courier New" w:hAnsi="Courier New"/>
          <w:sz w:val="17"/>
        </w:rPr>
        <w:t xml:space="preserve">50 000    7 953    9 492    9 492    11 416    11 416    14 238    14 238    16 162    16 162    17 701</w:t>
      </w:r>
    </w:p>
    <w:p>
      <w:r>
        <w:rPr>
          <w:rFonts w:ascii="Courier New" w:hAnsi="Courier New"/>
          <w:sz w:val="17"/>
        </w:rPr>
        <w:t xml:space="preserve">60 000    9 287    11 085    11 085    13 332    13 332    16 627    16 627    18 874    18 874    20 672</w:t>
      </w:r>
    </w:p>
    <w:p>
      <w:r>
        <w:rPr>
          <w:rFonts w:ascii="Courier New" w:hAnsi="Courier New"/>
          <w:sz w:val="17"/>
        </w:rPr>
        <w:t xml:space="preserve">75 000    11 227    13 400    13 400    16 116    16 116    20 100    20 100    22 816    22 816    24 989</w:t>
      </w:r>
    </w:p>
    <w:p>
      <w:r>
        <w:rPr>
          <w:rFonts w:ascii="Courier New" w:hAnsi="Courier New"/>
          <w:sz w:val="17"/>
        </w:rPr>
        <w:t xml:space="preserve">100 000    14 332    17 106    17 106    20 574    20 574    25 659    25 659    29 127    29 127    31 901</w:t>
      </w:r>
    </w:p>
    <w:p>
      <w:r>
        <w:rPr>
          <w:rFonts w:ascii="Courier New" w:hAnsi="Courier New"/>
          <w:sz w:val="17"/>
        </w:rPr>
        <w:t xml:space="preserve">125 000    17 315    20 666    20 666    24 855    24 855    30 999    30 999    35 188    35 188    38 539</w:t>
      </w:r>
    </w:p>
    <w:p>
      <w:r>
        <w:rPr>
          <w:rFonts w:ascii="Courier New" w:hAnsi="Courier New"/>
          <w:sz w:val="17"/>
        </w:rPr>
        <w:t xml:space="preserve">150 000    20 201    24 111    24 111    28 998    28 998    36 166    36 166    41 053    41 053    44 963</w:t>
      </w:r>
    </w:p>
    <w:p>
      <w:r>
        <w:rPr>
          <w:rFonts w:ascii="Courier New" w:hAnsi="Courier New"/>
          <w:sz w:val="17"/>
        </w:rPr>
        <w:t xml:space="preserve">200 000    25 746    30 729    30 729    36 958    36 958    46 094    46 094    52 323    52 323    57 306</w:t>
      </w:r>
    </w:p>
    <w:p>
      <w:r>
        <w:rPr>
          <w:rFonts w:ascii="Courier New" w:hAnsi="Courier New"/>
          <w:sz w:val="17"/>
        </w:rPr>
        <w:t xml:space="preserve">250 000    31 053    37 063    37 063    44 576    44 576    55 594    55 594    63 107    63 107    69 117</w:t>
      </w:r>
    </w:p>
    <w:p>
      <w:r>
        <w:rPr>
          <w:rFonts w:ascii="Courier New" w:hAnsi="Courier New"/>
          <w:sz w:val="17"/>
        </w:rPr>
        <w:t xml:space="preserve">350 000    41 147    49 111    49 111    59 066    59 066    73 667    73 667    83 622    83 622    91 586</w:t>
      </w:r>
    </w:p>
    <w:p>
      <w:r>
        <w:rPr>
          <w:rFonts w:ascii="Courier New" w:hAnsi="Courier New"/>
          <w:sz w:val="17"/>
        </w:rPr>
        <w:t xml:space="preserve">500 000    55 300    66 004    66 004    79 383    79 383    99 006    99 006    112 385    112 385    123 088</w:t>
      </w:r>
    </w:p>
    <w:p>
      <w:r>
        <w:rPr>
          <w:rFonts w:ascii="Courier New" w:hAnsi="Courier New"/>
          <w:sz w:val="17"/>
        </w:rPr>
        <w:t xml:space="preserve">650 000    69 114    82 491    82 491    99 212    99 212    123 736    123 736    140 457    140 457    153 834</w:t>
      </w:r>
    </w:p>
    <w:p>
      <w:r>
        <w:rPr>
          <w:rFonts w:ascii="Courier New" w:hAnsi="Courier New"/>
          <w:sz w:val="17"/>
        </w:rPr>
        <w:t xml:space="preserve">800 000    82 430    98 384    98 384    118 326    118 326    147 576    147 576    167 518    167 518    183 472</w:t>
      </w:r>
    </w:p>
    <w:p>
      <w:r>
        <w:rPr>
          <w:rFonts w:ascii="Courier New" w:hAnsi="Courier New"/>
          <w:sz w:val="17"/>
        </w:rPr>
        <w:t xml:space="preserve">1 000 000    99 578    118 851    118 851    142 942    142 942    178 276    178 276    202 368    202 368    221 641</w:t>
      </w:r>
    </w:p>
    <w:p>
      <w:r>
        <w:rPr>
          <w:rFonts w:ascii="Courier New" w:hAnsi="Courier New"/>
          <w:sz w:val="17"/>
        </w:rPr>
        <w:t xml:space="preserve">1 250 000    120 238    143 510    143 510    172 600    172 600    215 265    215 265    244 355    244 355    267 627</w:t>
      </w:r>
    </w:p>
    <w:p>
      <w:r>
        <w:rPr>
          <w:rFonts w:ascii="Courier New" w:hAnsi="Courier New"/>
          <w:sz w:val="17"/>
        </w:rPr>
        <w:t xml:space="preserve">1 500 000    140 204    167 340    167 340    201 261    201 261    251 011    251 011    284 931    284 931    312 067</w:t>
      </w:r>
    </w:p>
    <w:p>
      <w:r>
        <w:t xml:space="preserve">(2) Welchen Honorarzonen die Grundleistungen zugeordnet werden, richtet sich nach folgenden Bewertungsmerkmalen:</w:t>
      </w:r>
    </w:p>
    <w:p>
      <w:pPr>
        <w:ind w:left="420"/>
      </w:pPr>
      <w:r>
        <w:t xml:space="preserve">1. Anforderungen an die Einbindung in die Umgebung,</w:t>
      </w:r>
    </w:p>
    <w:p>
      <w:pPr>
        <w:ind w:left="420"/>
      </w:pPr>
      <w:r>
        <w:t xml:space="preserve">2. Anforderungen an Schutz, Pflege und Entwicklung von Natur und Landschaft,</w:t>
      </w:r>
    </w:p>
    <w:p>
      <w:pPr>
        <w:ind w:left="420"/>
      </w:pPr>
      <w:r>
        <w:t xml:space="preserve">3. Anzahl der Funktionsbereiche,</w:t>
      </w:r>
    </w:p>
    <w:p>
      <w:pPr>
        <w:ind w:left="420"/>
      </w:pPr>
      <w:r>
        <w:t xml:space="preserve">4. gestalterische Anforderungen,</w:t>
      </w:r>
    </w:p>
    <w:p>
      <w:pPr>
        <w:ind w:left="420"/>
      </w:pPr>
      <w:r>
        <w:t xml:space="preserve">5. Ver- und Entsorgungseinrichtungen.</w:t>
      </w:r>
    </w:p>
    <w:p>
      <w:r>
        <w:t xml:space="preserve">(3) Sind für eine Freianlage Bewertungsmerkmale aus mehreren Honorarzonen anwendbar und bestehen deswegen Zweifel, welcher Honorarzone die Freianlage zugeordnet werden kann, so ist zunächst die Anzahl der Bewertungspunkte zu ermitteln. Zur Ermittlung der Bewertungspunkte werden die Bewertungsmerkmale wie folgt gewichtet:</w:t>
      </w:r>
    </w:p>
    <w:p>
      <w:pPr>
        <w:ind w:left="420"/>
      </w:pPr>
      <w:r>
        <w:t xml:space="preserve">1. die Bewertungsmerkmale gemäß Absatz 2 Nummer 1, 2 und 4 mit je bis zu 8 Punkten,</w:t>
      </w:r>
    </w:p>
    <w:p>
      <w:pPr>
        <w:ind w:left="420"/>
      </w:pPr>
      <w:r>
        <w:t xml:space="preserve">2. die Bewertungsmerkmale gemäß Absatz 2 Nummer 3 und 5 mit je bis zu 6 Punkten.</w:t>
      </w:r>
    </w:p>
    <w:p>
      <w:r>
        <w:t xml:space="preserve">(4) Die Freianlage ist anhand der nach Absatz 3 ermittelten Bewertungspunkte einer der Honorarzonen zuzuordnen:</w:t>
      </w:r>
    </w:p>
    <w:p>
      <w:pPr>
        <w:ind w:left="420"/>
      </w:pPr>
      <w:r>
        <w:t xml:space="preserve">1. Honorarzone I: bis zu 8 Punkte,</w:t>
      </w:r>
    </w:p>
    <w:p>
      <w:pPr>
        <w:ind w:left="420"/>
      </w:pPr>
      <w:r>
        <w:t xml:space="preserve">2. Honorarzone II: 9 bis 15 Punkte,</w:t>
      </w:r>
    </w:p>
    <w:p>
      <w:pPr>
        <w:ind w:left="420"/>
      </w:pPr>
      <w:r>
        <w:t xml:space="preserve">3. Honorarzone III: 16 bis 22 Punkte,</w:t>
      </w:r>
    </w:p>
    <w:p>
      <w:pPr>
        <w:ind w:left="420"/>
      </w:pPr>
      <w:r>
        <w:t xml:space="preserve">4. Honorarzone IV: 23 bis 29 Punkte,</w:t>
      </w:r>
    </w:p>
    <w:p>
      <w:pPr>
        <w:ind w:left="420"/>
      </w:pPr>
      <w:r>
        <w:t xml:space="preserve">5. Honorarzone V: 30 bis 36 Punkte.</w:t>
      </w:r>
    </w:p>
    <w:p>
      <w:r>
        <w:t xml:space="preserve">(5) Für die Zuordnung zu den Honorarzonen ist die Objektliste der Anlage 11 Nummer 11.2 zu berücksichtigen.</w:t>
      </w:r>
    </w:p>
    <w:p>
      <w:r>
        <w:t xml:space="preserve">(6) § 36 Absatz 1 ist für Freianlagen entsprechend anzuwenden.</w:t>
      </w:r>
    </w:p>
    <w:p>
      <w:r>
        <w:rPr>
          <w:color w:val="555555"/>
          <w:sz w:val="17"/>
        </w:rPr>
        <w:t xml:space="preserve">Zitiervorschlag: § 40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