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HOAI 2013 — Anrechenbare Kosten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Anrechenbare Kosten sind Teil der Kosten für die Herstellung, den Umbau, die Modernisierung, Instandhaltung oder Instandsetzung von Objekten sowie für die damit zusammenhängenden Aufwendungen. Sie sind nach allgemein anerkannten Regeln der Technik oder nach Verwaltungsvorschriften (Kostenvorschriften) auf der Grundlage ortsüblicher Preise zu ermitteln. Wird in dieser Verordnung im Zusammenhang mit der Kostenermittlung die DIN 276 in Bezug genommen, so ist die Fassung vom Dezember 2008 (DIN 276-1: 2008-12) bei der Ermittlung der anrechenbaren Kosten zugrunde zu legen. Umsatzsteuer, die auf die Kosten von Objekten entfällt, ist nicht Bestandteil der anrechenbaren Kosten.</w:t>
      </w:r>
    </w:p>
    <w:p>
      <w:r>
        <w:t xml:space="preserve">(2) Die anrechenbaren Kosten richten sich nach den ortsüblichen Preisen, wenn der Auftraggeber</w:t>
      </w:r>
    </w:p>
    <w:p>
      <w:pPr>
        <w:ind w:left="420"/>
      </w:pPr>
      <w:r>
        <w:t xml:space="preserve">1. selbst Lieferungen oder Leistungen übernimmt,</w:t>
      </w:r>
    </w:p>
    <w:p>
      <w:pPr>
        <w:ind w:left="420"/>
      </w:pPr>
      <w:r>
        <w:t xml:space="preserve">2. von bauausführenden Unternehmen oder von Lieferanten sonst nicht übliche Vergünstigungen erhält,</w:t>
      </w:r>
    </w:p>
    <w:p>
      <w:pPr>
        <w:ind w:left="420"/>
      </w:pPr>
      <w:r>
        <w:t xml:space="preserve">3. Lieferungen oder Leistungen in Gegenrechnung ausführt oder</w:t>
      </w:r>
    </w:p>
    <w:p>
      <w:pPr>
        <w:ind w:left="420"/>
      </w:pPr>
      <w:r>
        <w:t xml:space="preserve">4. vorhandene oder vorbeschaffte Baustoffe oder Bauteile einbauen lässt.</w:t>
      </w:r>
    </w:p>
    <w:p>
      <w:r>
        <w:t xml:space="preserve">(3) Der Umfang der mitzuverarbeitenden Bausubstanz im Sinne des § 2 Absatz 7 ist bei den anrechenbaren Kosten angemessen zu berücksichtigen. Umfang und Wert der mitzuverarbeitenden Bausubstanz sind zum Zeitpunkt der Kostenberechnung oder, sofern keine Kostenberechnung vorliegt, zum Zeitpunkt der Kostenschätzung objektbezogen zu ermitteln und in Textform zu vereinbaren.</w:t>
      </w:r>
    </w:p>
    <w:p>
      <w:r>
        <w:rPr>
          <w:color w:val="555555"/>
          <w:sz w:val="17"/>
        </w:rPr>
        <w:t xml:space="preserve">Zitiervorschlag: § 4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https://recht.nulegal.eu/gesetze/HOAI%202013/4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