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38 HOAI 2013 — Besondere Grundlagen des Honorars</w:t>
      </w:r>
    </w:p>
    <w:p>
      <w:r>
        <w:rPr>
          <w:color w:val="555555"/>
          <w:sz w:val="18"/>
        </w:rPr>
        <w:t xml:space="preserve">Honorarordnung für Architekten und Ingenieure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Für Grundleistungen bei Freianlagen sind die Kosten für Außenanlagen anrechenbar, insbesondere für folgende Bauwerke und Anlagen, soweit diese durch den Auftragnehmer geplant oder überwacht werden:</w:t>
      </w:r>
    </w:p>
    <w:p>
      <w:pPr>
        <w:ind w:left="420"/>
      </w:pPr>
      <w:r>
        <w:t xml:space="preserve">1. Einzelgewässer mit überwiegend ökologischen und landschaftsgestalterischen Elementen,</w:t>
      </w:r>
    </w:p>
    <w:p>
      <w:pPr>
        <w:ind w:left="420"/>
      </w:pPr>
      <w:r>
        <w:t xml:space="preserve">2. Teiche ohne Dämme,</w:t>
      </w:r>
    </w:p>
    <w:p>
      <w:pPr>
        <w:ind w:left="420"/>
      </w:pPr>
      <w:r>
        <w:t xml:space="preserve">3. flächenhafter Erdbau zur Geländegestaltung,</w:t>
      </w:r>
    </w:p>
    <w:p>
      <w:pPr>
        <w:ind w:left="420"/>
      </w:pPr>
      <w:r>
        <w:t xml:space="preserve">4. einfache Durchlässe und Uferbefestigungen als Mittel zur Geländegestaltung, soweit keine Grundleistungen nach Teil 4 Abschnitt 1 erforderlich sind,</w:t>
      </w:r>
    </w:p>
    <w:p>
      <w:pPr>
        <w:ind w:left="420"/>
      </w:pPr>
      <w:r>
        <w:t xml:space="preserve">5. Lärmschutzwälle als Mittel zur Geländegestaltung,</w:t>
      </w:r>
    </w:p>
    <w:p>
      <w:pPr>
        <w:ind w:left="420"/>
      </w:pPr>
      <w:r>
        <w:t xml:space="preserve">6. Stützbauwerke und Geländeabstützungen ohne Verkehrsbelastung als Mittel zur Geländegestaltung, soweit keine Tragwerke mit durchschnittlichem Schwierigkeitsgrad erforderlich sind,</w:t>
      </w:r>
    </w:p>
    <w:p>
      <w:pPr>
        <w:ind w:left="420"/>
      </w:pPr>
      <w:r>
        <w:t xml:space="preserve">7. Stege und Brücken, soweit keine Grundleistungen nach Teil 4 Abschnitt 1 erforderlich sind,</w:t>
      </w:r>
    </w:p>
    <w:p>
      <w:pPr>
        <w:ind w:left="420"/>
      </w:pPr>
      <w:r>
        <w:t xml:space="preserve">8. Wege ohne Eignung für den regelmäßigen Fahrverkehr mit einfachen Entwässerungsverhältnissen sowie andere Wege und befestigte Flächen, die als Gestaltungselement der Freianlagen geplant werden und für die keine Grundleistungen nach Teil 3 Abschnitt 3 und 4 erforderlich sind.</w:t>
      </w:r>
    </w:p>
    <w:p>
      <w:r>
        <w:t xml:space="preserve">(2) Nicht anrechenbar sind für Grundleistungen bei Freianlagen die Kosten für</w:t>
      </w:r>
    </w:p>
    <w:p>
      <w:pPr>
        <w:ind w:left="420"/>
      </w:pPr>
      <w:r>
        <w:t xml:space="preserve">1. das Gebäude sowie die in § 33 Absatz 3 genannten Kosten und</w:t>
      </w:r>
    </w:p>
    <w:p>
      <w:pPr>
        <w:ind w:left="420"/>
      </w:pPr>
      <w:r>
        <w:t xml:space="preserve">2. den Unter- und Oberbau von Fußgängerbereichen ausgenommen die Kosten für die Oberflächenbefestigung.</w:t>
      </w:r>
    </w:p>
    <w:p>
      <w:r>
        <w:rPr>
          <w:color w:val="555555"/>
          <w:sz w:val="17"/>
        </w:rPr>
        <w:t xml:space="preserve">Zitiervorschlag: § 38 HOAI 2013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https://recht.nulegal.eu/gesetze/HOAI%202013/38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