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HOAI 2013 — Aufträge für Gebäude und Freianlagen oder für Gebäude und Innenräume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§ 11 Absatz 1 ist nicht anzuwenden, wenn die getrennte Berechnung der Honorare für Freianlagen weniger als 7 500 Euro anrechenbare Kosten ergeben würde.</w:t>
      </w:r>
    </w:p>
    <w:p>
      <w:r>
        <w:t xml:space="preserve">(2) Werden Grundleistungen für Innenräume in Gebäuden, die neu gebaut, wiederaufgebaut, erweitert oder umgebaut werden, einem Auftragnehmer übertragen, dem auch Grundleistungen für dieses Gebäude nach § 34 übertragen werden, so sind die Grundleistungen für Innenräume bei der Vereinbarung des Honorars für die Grundleistungen am Gebäude zu berücksichtigen. Ein gesondertes Honorar nach § 11 Absatz 1 darf für die Grundleistungen für Innenräume nicht berechnet werden.</w:t>
      </w:r>
    </w:p>
    <w:p>
      <w:r>
        <w:rPr>
          <w:color w:val="555555"/>
          <w:sz w:val="17"/>
        </w:rPr>
        <w:t xml:space="preserve">Zitiervorschlag: § 37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