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HOAI 2013 — Umbauten und Modernisierungen von Gebäuden und Innenräumen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Für Umbauten und Modernisierungen von Gebäuden kann bei einem durchschnittlichen Schwierigkeitsgrad ein Zuschlag gemäß § 6 Absatz 2 Satz 3 bis 33 Prozent auf das ermittelte Honorar in Textform vereinbart werden.</w:t>
      </w:r>
    </w:p>
    <w:p>
      <w:r>
        <w:t xml:space="preserve">(2) Für Umbauten und Modernisierungen von Innenräumen in Gebäuden kann bei einem durchschnittlichen Schwierigkeitsgrad ein Zuschlag gemäß § 6 Absatz 2 Satz 3 bis 50 Prozent auf das ermittelte Honorar in Textform vereinbart werden.</w:t>
      </w:r>
    </w:p>
    <w:p>
      <w:r>
        <w:rPr>
          <w:color w:val="555555"/>
          <w:sz w:val="17"/>
        </w:rPr>
        <w:t xml:space="preserve">Zitiervorschlag: § 36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