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HOAI 2013 — Honorare für Grundleistungen bei Gebäuden und Innenräumen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34 und der Anlage 10 Nummer 10.1 genannten Grundleistungen für Gebäude und Innenräume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25 000    3 120    3 657    3 657    4 339    4 339    5 412    5 412    6 094    6 094    6 631</w:t>
      </w:r>
    </w:p>
    <w:p>
      <w:r>
        <w:rPr>
          <w:rFonts w:ascii="Courier New" w:hAnsi="Courier New"/>
          <w:sz w:val="17"/>
        </w:rPr>
        <w:t xml:space="preserve">35 000    4 217    4 942    4 942    5 865    5 865    7 315    7 315    8 237    8 237    8 962</w:t>
      </w:r>
    </w:p>
    <w:p>
      <w:r>
        <w:rPr>
          <w:rFonts w:ascii="Courier New" w:hAnsi="Courier New"/>
          <w:sz w:val="17"/>
        </w:rPr>
        <w:t xml:space="preserve">50 000    5 804    6 801    6 801    8 071    8 071    10 066    10 066    11 336    11 336    12 333</w:t>
      </w:r>
    </w:p>
    <w:p>
      <w:r>
        <w:rPr>
          <w:rFonts w:ascii="Courier New" w:hAnsi="Courier New"/>
          <w:sz w:val="17"/>
        </w:rPr>
        <w:t xml:space="preserve">75 000    8 342    9 776    9 776    11 601    11 601    14 469    14 469    16 293    16 293    17 727</w:t>
      </w:r>
    </w:p>
    <w:p>
      <w:r>
        <w:rPr>
          <w:rFonts w:ascii="Courier New" w:hAnsi="Courier New"/>
          <w:sz w:val="17"/>
        </w:rPr>
        <w:t xml:space="preserve">100 000    10 790    12 644    12 644    15 005    15 005    18 713    18 713    21 074    21 074    22 928</w:t>
      </w:r>
    </w:p>
    <w:p>
      <w:r>
        <w:rPr>
          <w:rFonts w:ascii="Courier New" w:hAnsi="Courier New"/>
          <w:sz w:val="17"/>
        </w:rPr>
        <w:t xml:space="preserve">150 000    15 500    18 164    18 164    21 555    21 555    26 883    26 883    30 274    30 274    32 938</w:t>
      </w:r>
    </w:p>
    <w:p>
      <w:r>
        <w:rPr>
          <w:rFonts w:ascii="Courier New" w:hAnsi="Courier New"/>
          <w:sz w:val="17"/>
        </w:rPr>
        <w:t xml:space="preserve">200 000    20 037    23 480    23 480    27 863    27 863    34 751    34 751    39 134    39 134    42 578</w:t>
      </w:r>
    </w:p>
    <w:p>
      <w:r>
        <w:rPr>
          <w:rFonts w:ascii="Courier New" w:hAnsi="Courier New"/>
          <w:sz w:val="17"/>
        </w:rPr>
        <w:t xml:space="preserve">300 000    28 750    33 692    33 692    39 981    39 981    49 864    49 864    56 153    56 153    61 095</w:t>
      </w:r>
    </w:p>
    <w:p>
      <w:r>
        <w:rPr>
          <w:rFonts w:ascii="Courier New" w:hAnsi="Courier New"/>
          <w:sz w:val="17"/>
        </w:rPr>
        <w:t xml:space="preserve">500 000    45 232    53 006    53 006    62 900    62 900    78 449    78 449    88 343    88 343    96 118</w:t>
      </w:r>
    </w:p>
    <w:p>
      <w:r>
        <w:rPr>
          <w:rFonts w:ascii="Courier New" w:hAnsi="Courier New"/>
          <w:sz w:val="17"/>
        </w:rPr>
        <w:t xml:space="preserve">750 000    64 666    75 781    75 781    89 927    89 927    112 156    112 156    126 301    126 301    137 416</w:t>
      </w:r>
    </w:p>
    <w:p>
      <w:r>
        <w:rPr>
          <w:rFonts w:ascii="Courier New" w:hAnsi="Courier New"/>
          <w:sz w:val="17"/>
        </w:rPr>
        <w:t xml:space="preserve">1 000 000    83 182    97 479    97 479    115 675    115 675    144 268    144 268    162 464    162 464    176 761</w:t>
      </w:r>
    </w:p>
    <w:p>
      <w:r>
        <w:rPr>
          <w:rFonts w:ascii="Courier New" w:hAnsi="Courier New"/>
          <w:sz w:val="17"/>
        </w:rPr>
        <w:t xml:space="preserve">1 500 000    119 307    139 813    139 813    165 911    165 911    206 923    206 923    233 022    233 022    253 527</w:t>
      </w:r>
    </w:p>
    <w:p>
      <w:r>
        <w:rPr>
          <w:rFonts w:ascii="Courier New" w:hAnsi="Courier New"/>
          <w:sz w:val="17"/>
        </w:rPr>
        <w:t xml:space="preserve">2 000 000    153 965    180 428    180 428    214 108    214 108    267 034    267 034    300 714    300 714    327 177</w:t>
      </w:r>
    </w:p>
    <w:p>
      <w:r>
        <w:rPr>
          <w:rFonts w:ascii="Courier New" w:hAnsi="Courier New"/>
          <w:sz w:val="17"/>
        </w:rPr>
        <w:t xml:space="preserve">3 000 000    220 161    258 002    258 002    306 162    306 162    381 843    381 843    430 003    430 003    467 843</w:t>
      </w:r>
    </w:p>
    <w:p>
      <w:r>
        <w:rPr>
          <w:rFonts w:ascii="Courier New" w:hAnsi="Courier New"/>
          <w:sz w:val="17"/>
        </w:rPr>
        <w:t xml:space="preserve">5 000 000    343 879    402 984    402 984    478 207    478 207    596 416    596 416    671 640    671 640    730 744</w:t>
      </w:r>
    </w:p>
    <w:p>
      <w:r>
        <w:rPr>
          <w:rFonts w:ascii="Courier New" w:hAnsi="Courier New"/>
          <w:sz w:val="17"/>
        </w:rPr>
        <w:t xml:space="preserve">7 500 000    493 923    578 816    578 816    686 862    686 862    856 648    856 648    964 694    964 694    1 049 587</w:t>
      </w:r>
    </w:p>
    <w:p>
      <w:r>
        <w:rPr>
          <w:rFonts w:ascii="Courier New" w:hAnsi="Courier New"/>
          <w:sz w:val="17"/>
        </w:rPr>
        <w:t xml:space="preserve">10 000 000    638 277    747 981    747 981    887 604    887 604    1 107 012    1 107 012    1 246 635    1 246 635    1 356 339</w:t>
      </w:r>
    </w:p>
    <w:p>
      <w:r>
        <w:rPr>
          <w:rFonts w:ascii="Courier New" w:hAnsi="Courier New"/>
          <w:sz w:val="17"/>
        </w:rPr>
        <w:t xml:space="preserve">15 000 000    915 129    1 072 416    1 072 416    1 272 601    1 272 601    1 587 176    1 587 176    1 787 360    1 787 360    1 944 648</w:t>
      </w:r>
    </w:p>
    <w:p>
      <w:r>
        <w:rPr>
          <w:rFonts w:ascii="Courier New" w:hAnsi="Courier New"/>
          <w:sz w:val="17"/>
        </w:rPr>
        <w:t xml:space="preserve">20 000 000    1 180 414    1 383 298    1 383 298    1 641 513    1 641 513    2 047 281    2 047 281    2 305 496    2 305 496    2 508 380</w:t>
      </w:r>
    </w:p>
    <w:p>
      <w:r>
        <w:rPr>
          <w:rFonts w:ascii="Courier New" w:hAnsi="Courier New"/>
          <w:sz w:val="17"/>
        </w:rPr>
        <w:t xml:space="preserve">25 000 000    1 436 874    1 683 837    1 683 837    1 998 153    1 998 153    2 492 079    2 492 079    2 806 395    2 806 395    3 053 358</w:t>
      </w:r>
    </w:p>
    <w:p>
      <w:r>
        <w:t xml:space="preserve">(2) Welchen Honorarzonen die Grundleistungen für Gebäude zugeordnet werden, richtet sich nach folgenden Bewertungsmerkmalen:</w:t>
      </w:r>
    </w:p>
    <w:p>
      <w:pPr>
        <w:ind w:left="420"/>
      </w:pPr>
      <w:r>
        <w:t xml:space="preserve">1. Anforderungen an die Einbindung in die Umgebung,</w:t>
      </w:r>
    </w:p>
    <w:p>
      <w:pPr>
        <w:ind w:left="420"/>
      </w:pPr>
      <w:r>
        <w:t xml:space="preserve">2. Anzahl der Funktionsbereiche,</w:t>
      </w:r>
    </w:p>
    <w:p>
      <w:pPr>
        <w:ind w:left="420"/>
      </w:pPr>
      <w:r>
        <w:t xml:space="preserve">3. gestalterische Anforderungen,</w:t>
      </w:r>
    </w:p>
    <w:p>
      <w:pPr>
        <w:ind w:left="420"/>
      </w:pPr>
      <w:r>
        <w:t xml:space="preserve">4. konstruktive Anforderungen,</w:t>
      </w:r>
    </w:p>
    <w:p>
      <w:pPr>
        <w:ind w:left="420"/>
      </w:pPr>
      <w:r>
        <w:t xml:space="preserve">5. technische Ausrüstung,</w:t>
      </w:r>
    </w:p>
    <w:p>
      <w:pPr>
        <w:ind w:left="420"/>
      </w:pPr>
      <w:r>
        <w:t xml:space="preserve">6. Ausbau.</w:t>
      </w:r>
    </w:p>
    <w:p>
      <w:r>
        <w:t xml:space="preserve">(3) Welchen Honorarzonen die Grundleistungen für Innenräume zugeordnet werden, richtet sich nach folgenden Bewertungsmerkmalen:</w:t>
      </w:r>
    </w:p>
    <w:p>
      <w:pPr>
        <w:ind w:left="420"/>
      </w:pPr>
      <w:r>
        <w:t xml:space="preserve">1. Anzahl der Funktionsbereiche,</w:t>
      </w:r>
    </w:p>
    <w:p>
      <w:pPr>
        <w:ind w:left="420"/>
      </w:pPr>
      <w:r>
        <w:t xml:space="preserve">2. Anforderungen an die Lichtgestaltung,</w:t>
      </w:r>
    </w:p>
    <w:p>
      <w:pPr>
        <w:ind w:left="420"/>
      </w:pPr>
      <w:r>
        <w:t xml:space="preserve">3. Anforderungen an die Raumzuordnung und Raumproportion,</w:t>
      </w:r>
    </w:p>
    <w:p>
      <w:pPr>
        <w:ind w:left="420"/>
      </w:pPr>
      <w:r>
        <w:t xml:space="preserve">4. technische Ausrüstung,</w:t>
      </w:r>
    </w:p>
    <w:p>
      <w:pPr>
        <w:ind w:left="420"/>
      </w:pPr>
      <w:r>
        <w:t xml:space="preserve">5. Farb- und Materialgestaltung,</w:t>
      </w:r>
    </w:p>
    <w:p>
      <w:pPr>
        <w:ind w:left="420"/>
      </w:pPr>
      <w:r>
        <w:t xml:space="preserve">6. konstruktive Detailgestaltung.</w:t>
      </w:r>
    </w:p>
    <w:p>
      <w:r>
        <w:t xml:space="preserve">(4) Sind für ein Gebäude Bewertungsmerkmale aus mehreren Honorarzonen anwendbar und bestehen deswegen Zweifel, welcher Honorarzone das Gebäude oder der Innenraum zugeordnet werden kann, so ist zunächst die Anzahl der Bewertungspunkte zu ermitteln. Zur Ermittlung der Bewertungspunkte werden die Bewertungsmerkmale wie folgt gewichtet:</w:t>
      </w:r>
    </w:p>
    <w:p>
      <w:pPr>
        <w:ind w:left="420"/>
      </w:pPr>
      <w:r>
        <w:t xml:space="preserve">1. die Bewertungsmerkmale gemäß Absatz 2 Nummer 1, 4 bis 6 mit je bis zu 6 Punkten und</w:t>
      </w:r>
    </w:p>
    <w:p>
      <w:pPr>
        <w:ind w:left="420"/>
      </w:pPr>
      <w:r>
        <w:t xml:space="preserve">2. die Bewertungsmerkmale gemäß Absatz 2 Nummer 2 und 3 mit je bis zu 9 Punkten.</w:t>
      </w:r>
    </w:p>
    <w:p>
      <w:r>
        <w:t xml:space="preserve">(5) Sind für Innenräume Bewertungsmerkmale aus mehreren Honorarzonen anwendbar und bestehen deswegen Zweifel, welcher Honorarzone das Gebäude oder der Innenraum zugeordnet werden kann, so ist zunächst die Anzahl der Bewertungspunkte zu ermitteln. Zur Ermittlung der Bewertungspunkte werden die Bewertungsmerkmale wie folgt gewichtet:</w:t>
      </w:r>
    </w:p>
    <w:p>
      <w:pPr>
        <w:ind w:left="420"/>
      </w:pPr>
      <w:r>
        <w:t xml:space="preserve">1. die Bewertungsmerkmale gemäß Absatz 3 Nummer 1 bis 4 mit je bis zu 6 Punkten und</w:t>
      </w:r>
    </w:p>
    <w:p>
      <w:pPr>
        <w:ind w:left="420"/>
      </w:pPr>
      <w:r>
        <w:t xml:space="preserve">2. die Bewertungsmerkmale gemäß Absatz 3 Nummer 5 und 6 mit je bis zu 9 Punkten.</w:t>
      </w:r>
    </w:p>
    <w:p>
      <w:r>
        <w:t xml:space="preserve">(6) Das Gebäude oder der Innenraum ist anhand der nach Absatz 5 ermittelten Bewertungspunkte einer der Honorarzonen zuzuordnen:</w:t>
      </w:r>
    </w:p>
    <w:p>
      <w:pPr>
        <w:ind w:left="420"/>
      </w:pPr>
      <w:r>
        <w:t xml:space="preserve">1. Honorarzone I: bis zu 10 Punkte,</w:t>
      </w:r>
    </w:p>
    <w:p>
      <w:pPr>
        <w:ind w:left="420"/>
      </w:pPr>
      <w:r>
        <w:t xml:space="preserve">2. Honorarzone II: 11 bis 18 Punkte,</w:t>
      </w:r>
    </w:p>
    <w:p>
      <w:pPr>
        <w:ind w:left="420"/>
      </w:pPr>
      <w:r>
        <w:t xml:space="preserve">3. Honorarzone III: 19 bis 26 Punkte,</w:t>
      </w:r>
    </w:p>
    <w:p>
      <w:pPr>
        <w:ind w:left="420"/>
      </w:pPr>
      <w:r>
        <w:t xml:space="preserve">4. Honorarzone IV: 27 bis 34 Punkte,</w:t>
      </w:r>
    </w:p>
    <w:p>
      <w:pPr>
        <w:ind w:left="420"/>
      </w:pPr>
      <w:r>
        <w:t xml:space="preserve">5. Honorarzone V:35 bis 42 Punkte.</w:t>
      </w:r>
    </w:p>
    <w:p>
      <w:r>
        <w:t xml:space="preserve">(7) Für die Zuordnung zu den Honorarzonen ist die Objektliste der Anlage 10 Nummer 10.2 und Nummer 10.3 zu berücksichtigen.</w:t>
      </w:r>
    </w:p>
    <w:p>
      <w:r>
        <w:rPr>
          <w:color w:val="555555"/>
          <w:sz w:val="17"/>
        </w:rPr>
        <w:t xml:space="preserve">Zitiervorschlag: § 35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