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HOAI 2013 — Honorare für Grundleistungen bei Landschaftsrahmenplänen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25 und Anlage 6 genannten Grundleistungen bei Landschaftsrahmenplänen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5 000    61 880    71 935    71 935    82 764    82 764    92 820</w:t>
      </w:r>
    </w:p>
    <w:p>
      <w:r>
        <w:rPr>
          <w:rFonts w:ascii="Courier New" w:hAnsi="Courier New"/>
          <w:sz w:val="17"/>
        </w:rPr>
        <w:t xml:space="preserve">6 000    67 933    78 973    78 973    90 861    90 861    101 900</w:t>
      </w:r>
    </w:p>
    <w:p>
      <w:r>
        <w:rPr>
          <w:rFonts w:ascii="Courier New" w:hAnsi="Courier New"/>
          <w:sz w:val="17"/>
        </w:rPr>
        <w:t xml:space="preserve">7 000    73 473    85 413    85 413    98 270    98 270    110 210</w:t>
      </w:r>
    </w:p>
    <w:p>
      <w:r>
        <w:rPr>
          <w:rFonts w:ascii="Courier New" w:hAnsi="Courier New"/>
          <w:sz w:val="17"/>
        </w:rPr>
        <w:t xml:space="preserve">8 000    78 600    91 373    91 373    105 128    105 128    117 901</w:t>
      </w:r>
    </w:p>
    <w:p>
      <w:r>
        <w:rPr>
          <w:rFonts w:ascii="Courier New" w:hAnsi="Courier New"/>
          <w:sz w:val="17"/>
        </w:rPr>
        <w:t xml:space="preserve">9 000    83 385    96 936    96 936    111 528    111 528    125 078</w:t>
      </w:r>
    </w:p>
    <w:p>
      <w:r>
        <w:rPr>
          <w:rFonts w:ascii="Courier New" w:hAnsi="Courier New"/>
          <w:sz w:val="17"/>
        </w:rPr>
        <w:t xml:space="preserve">10 000    87 880    102 161    102 161    117 540    117 540    131 820</w:t>
      </w:r>
    </w:p>
    <w:p>
      <w:r>
        <w:rPr>
          <w:rFonts w:ascii="Courier New" w:hAnsi="Courier New"/>
          <w:sz w:val="17"/>
        </w:rPr>
        <w:t xml:space="preserve">12 000    96 149    111 773    111 773    128 599    128 599    144 223</w:t>
      </w:r>
    </w:p>
    <w:p>
      <w:r>
        <w:rPr>
          <w:rFonts w:ascii="Courier New" w:hAnsi="Courier New"/>
          <w:sz w:val="17"/>
        </w:rPr>
        <w:t xml:space="preserve">14 000    103 631    120 471    120 471    138 607    138 607    155 447</w:t>
      </w:r>
    </w:p>
    <w:p>
      <w:r>
        <w:rPr>
          <w:rFonts w:ascii="Courier New" w:hAnsi="Courier New"/>
          <w:sz w:val="17"/>
        </w:rPr>
        <w:t xml:space="preserve">16 000    110 477    128 430    128 430    147 763    147 763    165 716</w:t>
      </w:r>
    </w:p>
    <w:p>
      <w:r>
        <w:rPr>
          <w:rFonts w:ascii="Courier New" w:hAnsi="Courier New"/>
          <w:sz w:val="17"/>
        </w:rPr>
        <w:t xml:space="preserve">18 000    116 791    135 769    135 769    156 208    156 208    175 186</w:t>
      </w:r>
    </w:p>
    <w:p>
      <w:r>
        <w:rPr>
          <w:rFonts w:ascii="Courier New" w:hAnsi="Courier New"/>
          <w:sz w:val="17"/>
        </w:rPr>
        <w:t xml:space="preserve">20 000    122 649    142 580    142 580    164 043    164 043    183 974</w:t>
      </w:r>
    </w:p>
    <w:p>
      <w:r>
        <w:rPr>
          <w:rFonts w:ascii="Courier New" w:hAnsi="Courier New"/>
          <w:sz w:val="17"/>
        </w:rPr>
        <w:t xml:space="preserve">25 000    138 047    160 480    160 480    184 638    184 638    207 070</w:t>
      </w:r>
    </w:p>
    <w:p>
      <w:r>
        <w:rPr>
          <w:rFonts w:ascii="Courier New" w:hAnsi="Courier New"/>
          <w:sz w:val="17"/>
        </w:rPr>
        <w:t xml:space="preserve">30 000    152 052    176 761    176 761    203 370    203 370    228 078</w:t>
      </w:r>
    </w:p>
    <w:p>
      <w:r>
        <w:rPr>
          <w:rFonts w:ascii="Courier New" w:hAnsi="Courier New"/>
          <w:sz w:val="17"/>
        </w:rPr>
        <w:t xml:space="preserve">40 000    177 097    205 875    205 875    236 867    236 867    265 645</w:t>
      </w:r>
    </w:p>
    <w:p>
      <w:r>
        <w:rPr>
          <w:rFonts w:ascii="Courier New" w:hAnsi="Courier New"/>
          <w:sz w:val="17"/>
        </w:rPr>
        <w:t xml:space="preserve">50 000    199 330    231 721    231 721    266 604    266 604    298 995</w:t>
      </w:r>
    </w:p>
    <w:p>
      <w:r>
        <w:rPr>
          <w:rFonts w:ascii="Courier New" w:hAnsi="Courier New"/>
          <w:sz w:val="17"/>
        </w:rPr>
        <w:t xml:space="preserve">60 000    219 553    255 230    255 230    293 652    293 652    329 329</w:t>
      </w:r>
    </w:p>
    <w:p>
      <w:r>
        <w:rPr>
          <w:rFonts w:ascii="Courier New" w:hAnsi="Courier New"/>
          <w:sz w:val="17"/>
        </w:rPr>
        <w:t xml:space="preserve">70 000    238 243    276 958    276 958    318 650    318 650    357 365</w:t>
      </w:r>
    </w:p>
    <w:p>
      <w:r>
        <w:rPr>
          <w:rFonts w:ascii="Courier New" w:hAnsi="Courier New"/>
          <w:sz w:val="17"/>
        </w:rPr>
        <w:t xml:space="preserve">80 000    253 946    295 212    295 212    339 652    339 652    380 918</w:t>
      </w:r>
    </w:p>
    <w:p>
      <w:r>
        <w:rPr>
          <w:rFonts w:ascii="Courier New" w:hAnsi="Courier New"/>
          <w:sz w:val="17"/>
        </w:rPr>
        <w:t xml:space="preserve">90 000    268 420    312 038    312 038    359 011    359 011    402 630</w:t>
      </w:r>
    </w:p>
    <w:p>
      <w:r>
        <w:rPr>
          <w:rFonts w:ascii="Courier New" w:hAnsi="Courier New"/>
          <w:sz w:val="17"/>
        </w:rPr>
        <w:t xml:space="preserve">100 000    281 843    327 643    327 643    376 965    376 965    422 765</w:t>
      </w:r>
    </w:p>
    <w:p>
      <w:r>
        <w:t xml:space="preserve">(2) Das Honorar für Grundleistungen bei Landschaftsrahmenplänen ist nach der Fläche des Planungsgebiets in Hektar und nach der Honorarzone zu berechnen.</w:t>
      </w:r>
    </w:p>
    <w:p>
      <w:r>
        <w:t xml:space="preserve">(3) Welchen Honorarzonen die Grundleistungen zugeordnet werden, richtet sich nach folgenden Bewertungsmerkmalen:</w:t>
      </w:r>
    </w:p>
    <w:p>
      <w:pPr>
        <w:ind w:left="420"/>
      </w:pPr>
      <w:r>
        <w:t xml:space="preserve">1. topographische Verhältnisse,</w:t>
      </w:r>
    </w:p>
    <w:p>
      <w:pPr>
        <w:ind w:left="420"/>
      </w:pPr>
      <w:r>
        <w:t xml:space="preserve">2. Raumnutzung und Bevölkerungsdichte,</w:t>
      </w:r>
    </w:p>
    <w:p>
      <w:pPr>
        <w:ind w:left="420"/>
      </w:pPr>
      <w:r>
        <w:t xml:space="preserve">3. Landschaftsbild,</w:t>
      </w:r>
    </w:p>
    <w:p>
      <w:pPr>
        <w:ind w:left="420"/>
      </w:pPr>
      <w:r>
        <w:t xml:space="preserve">4. Anforderungen an Umweltsicherung, Klima- und Naturschutz,</w:t>
      </w:r>
    </w:p>
    <w:p>
      <w:pPr>
        <w:ind w:left="420"/>
      </w:pPr>
      <w:r>
        <w:t xml:space="preserve">5. ökologische Verhältnisse,</w:t>
      </w:r>
    </w:p>
    <w:p>
      <w:pPr>
        <w:ind w:left="420"/>
      </w:pPr>
      <w:r>
        <w:t xml:space="preserve">6. Freiraumsicherung und Erholung.</w:t>
      </w:r>
    </w:p>
    <w:p>
      <w:r>
        <w:t xml:space="preserve">(4) Sind für einen Landschaftsrahmenplan Bewertungsmerkmale aus mehreren Honorarzonen anwendbar und bestehen deswegen Zweifel, welcher Honorarzone der Landschaftsrahmenplan zugeordnet werden kann, so ist zunächst die Anzahl der Bewertungspunkte zu ermitteln. Zur Ermittlung der Bewertungspunkte werden die Bewertungsmerkmale wie folgt gewichtet:</w:t>
      </w:r>
    </w:p>
    <w:p>
      <w:pPr>
        <w:ind w:left="420"/>
      </w:pPr>
      <w:r>
        <w:t xml:space="preserve">1. die Bewertungsmerkmale gemäß Absatz 3 Nummer 1, 2, 3 und 6 mit je bis zu 6 Punkten und</w:t>
      </w:r>
    </w:p>
    <w:p>
      <w:pPr>
        <w:ind w:left="420"/>
      </w:pPr>
      <w:r>
        <w:t xml:space="preserve">2. die Bewertungsmerkmale gemäß Absatz 3 Nummer 4 und 5 mit je bis zu 9 Punkten.</w:t>
      </w:r>
    </w:p>
    <w:p>
      <w:r>
        <w:t xml:space="preserve">(5) Der Landschaftsrahmenplan ist anhand der nach Absatz 4 ermittelten Bewertungspunkte einer der Honorarzonen zuzuordnen:</w:t>
      </w:r>
    </w:p>
    <w:p>
      <w:pPr>
        <w:ind w:left="420"/>
      </w:pPr>
      <w:r>
        <w:t xml:space="preserve">1. Honorarzone I: bis zu 16 Punkte,</w:t>
      </w:r>
    </w:p>
    <w:p>
      <w:pPr>
        <w:ind w:left="420"/>
      </w:pPr>
      <w:r>
        <w:t xml:space="preserve">2. Honorarzone II: 17 bis 30 Punkte,</w:t>
      </w:r>
    </w:p>
    <w:p>
      <w:pPr>
        <w:ind w:left="420"/>
      </w:pPr>
      <w:r>
        <w:t xml:space="preserve">3. Honorarzone III: 31 bis 42 Punkte.</w:t>
      </w:r>
    </w:p>
    <w:p>
      <w:r>
        <w:t xml:space="preserve">(6) Wird die Größe des Planungsgebiets während der Leistungserbringung geändert, so ist das Honorar für die Leistungsphasen, die bis zur Änderung noch nicht erbracht sind, nach der geänderten Größe des Planungsgebiets zu berechnen.</w:t>
      </w:r>
    </w:p>
    <w:p>
      <w:r>
        <w:rPr>
          <w:color w:val="555555"/>
          <w:sz w:val="17"/>
        </w:rPr>
        <w:t xml:space="preserve">Zitiervorschlag: § 30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