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HOAI 2013 — Honorartafeln und Basishonorarsatz</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Die Honorartafeln dieser Verordnung weisen Orientierungswerte aus, die an der Art und dem Umfang der Aufgabe sowie an der Leistung ausgerichtet sind. Die Honorartafeln enthalten für jeden Leistungsbereich Honorarspannen vom Basishonorarsatz bis zum oberen Honorarsatz, gegliedert nach den einzelnen Honorarzonen und den zugrunde liegenden Ansätzen für Flächen, anrechenbare Kosten oder Verrechnungseinheiten.</w:t>
      </w:r>
    </w:p>
    <w:p>
      <w:r>
        <w:t xml:space="preserve">(2) Basishonorarsatz ist der jeweils untere in den Honorartafeln dieser Verordnung enthaltene Honorarsatz.</w:t>
      </w:r>
    </w:p>
    <w:p>
      <w:r>
        <w:rPr>
          <w:color w:val="555555"/>
          <w:sz w:val="17"/>
        </w:rPr>
        <w:t xml:space="preserve">Zitiervorschlag: § 2a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https://recht.nulegal.eu/gesetze/HOAI%202013/2a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