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HOAI 2013 — Honorare für Grundleistungen bei Grünordnungsplänen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24 und Anlage 5 genannten Grundleistungen bei Grünordnungsplänen und Landschaftsplanerischen Fachbeiträgen sind die in der nachstehenden Honorartafel aufgeführten Honorarspannen Orientierungswerte:</w:t>
      </w:r>
    </w:p>
    <w:p>
      <w:r>
        <w:rPr>
          <w:rFonts w:ascii="Courier New" w:hAnsi="Courier New"/>
          <w:sz w:val="17"/>
        </w:rPr>
        <w:t xml:space="preserve">Fläche in Hektar    Honorarzone I geringe Anforderungen    Honorarzone II durchschnittliche Anforderungen    Honorarzone III hohe Anforderungen</w:t>
      </w:r>
    </w:p>
    <w:p>
      <w:r>
        <w:rPr>
          <w:rFonts w:ascii="Courier New" w:hAnsi="Courier New"/>
          <w:sz w:val="17"/>
        </w:rPr>
        <w:t xml:space="preserve">von    bis    von    bis    von    bis</w:t>
      </w:r>
    </w:p>
    <w:p>
      <w:r>
        <w:rPr>
          <w:rFonts w:ascii="Courier New" w:hAnsi="Courier New"/>
          <w:sz w:val="17"/>
        </w:rPr>
        <w:t xml:space="preserve">Euro    Euro    Euro</w:t>
      </w:r>
    </w:p>
    <w:p>
      <w:r>
        <w:rPr>
          <w:rFonts w:ascii="Courier New" w:hAnsi="Courier New"/>
          <w:sz w:val="17"/>
        </w:rPr>
        <w:t xml:space="preserve">1,5    5 219    6 067    6 067    6 980    6 980    7 828</w:t>
      </w:r>
    </w:p>
    <w:p>
      <w:r>
        <w:rPr>
          <w:rFonts w:ascii="Courier New" w:hAnsi="Courier New"/>
          <w:sz w:val="17"/>
        </w:rPr>
        <w:t xml:space="preserve">2    6 008    6 985    6 985    8 036    8 036    9 013</w:t>
      </w:r>
    </w:p>
    <w:p>
      <w:r>
        <w:rPr>
          <w:rFonts w:ascii="Courier New" w:hAnsi="Courier New"/>
          <w:sz w:val="17"/>
        </w:rPr>
        <w:t xml:space="preserve">3    7 450    8 661    8 661    9 965    9 965    11 175</w:t>
      </w:r>
    </w:p>
    <w:p>
      <w:r>
        <w:rPr>
          <w:rFonts w:ascii="Courier New" w:hAnsi="Courier New"/>
          <w:sz w:val="17"/>
        </w:rPr>
        <w:t xml:space="preserve">4    8 770    10 195    10 195    11 730    11 730    13 155</w:t>
      </w:r>
    </w:p>
    <w:p>
      <w:r>
        <w:rPr>
          <w:rFonts w:ascii="Courier New" w:hAnsi="Courier New"/>
          <w:sz w:val="17"/>
        </w:rPr>
        <w:t xml:space="preserve">5    10 006    11 632    11 632    13 383    13 383    15 009</w:t>
      </w:r>
    </w:p>
    <w:p>
      <w:r>
        <w:rPr>
          <w:rFonts w:ascii="Courier New" w:hAnsi="Courier New"/>
          <w:sz w:val="17"/>
        </w:rPr>
        <w:t xml:space="preserve">10    15 445    17 955    17 955    20 658    20 658    23 167</w:t>
      </w:r>
    </w:p>
    <w:p>
      <w:r>
        <w:rPr>
          <w:rFonts w:ascii="Courier New" w:hAnsi="Courier New"/>
          <w:sz w:val="17"/>
        </w:rPr>
        <w:t xml:space="preserve">15    20 183    23 462    23 462    26 994    26 994    30 274</w:t>
      </w:r>
    </w:p>
    <w:p>
      <w:r>
        <w:rPr>
          <w:rFonts w:ascii="Courier New" w:hAnsi="Courier New"/>
          <w:sz w:val="17"/>
        </w:rPr>
        <w:t xml:space="preserve">20    24 513    28 496    28 496    32 785    32 785    36 769</w:t>
      </w:r>
    </w:p>
    <w:p>
      <w:r>
        <w:rPr>
          <w:rFonts w:ascii="Courier New" w:hAnsi="Courier New"/>
          <w:sz w:val="17"/>
        </w:rPr>
        <w:t xml:space="preserve">25    28 560    33 201    33 201    38 199    38 199    42 840</w:t>
      </w:r>
    </w:p>
    <w:p>
      <w:r>
        <w:rPr>
          <w:rFonts w:ascii="Courier New" w:hAnsi="Courier New"/>
          <w:sz w:val="17"/>
        </w:rPr>
        <w:t xml:space="preserve">30    32 394    37 658    37 658    43 326    43 326    48 590</w:t>
      </w:r>
    </w:p>
    <w:p>
      <w:r>
        <w:rPr>
          <w:rFonts w:ascii="Courier New" w:hAnsi="Courier New"/>
          <w:sz w:val="17"/>
        </w:rPr>
        <w:t xml:space="preserve">40    39 580    46 011    46 011    52 938    52 938    59 370</w:t>
      </w:r>
    </w:p>
    <w:p>
      <w:r>
        <w:rPr>
          <w:rFonts w:ascii="Courier New" w:hAnsi="Courier New"/>
          <w:sz w:val="17"/>
        </w:rPr>
        <w:t xml:space="preserve">50    46 282    53 803    53 803    61 902    61 902    69 423</w:t>
      </w:r>
    </w:p>
    <w:p>
      <w:r>
        <w:rPr>
          <w:rFonts w:ascii="Courier New" w:hAnsi="Courier New"/>
          <w:sz w:val="17"/>
        </w:rPr>
        <w:t xml:space="preserve">75    61 579    71 586    71 586    82 362    82 362    92 369</w:t>
      </w:r>
    </w:p>
    <w:p>
      <w:r>
        <w:rPr>
          <w:rFonts w:ascii="Courier New" w:hAnsi="Courier New"/>
          <w:sz w:val="17"/>
        </w:rPr>
        <w:t xml:space="preserve">100    75 430    87 687    87 687    100 887    100 887    113 145</w:t>
      </w:r>
    </w:p>
    <w:p>
      <w:r>
        <w:rPr>
          <w:rFonts w:ascii="Courier New" w:hAnsi="Courier New"/>
          <w:sz w:val="17"/>
        </w:rPr>
        <w:t xml:space="preserve">125    88 255    102 597    102 597    118 042    118 042    132 383</w:t>
      </w:r>
    </w:p>
    <w:p>
      <w:r>
        <w:rPr>
          <w:rFonts w:ascii="Courier New" w:hAnsi="Courier New"/>
          <w:sz w:val="17"/>
        </w:rPr>
        <w:t xml:space="preserve">150    100 288    116 585    116 585    134 136    134 136    150 433</w:t>
      </w:r>
    </w:p>
    <w:p>
      <w:r>
        <w:rPr>
          <w:rFonts w:ascii="Courier New" w:hAnsi="Courier New"/>
          <w:sz w:val="17"/>
        </w:rPr>
        <w:t xml:space="preserve">175    111 675    129 822    129 822    149 366    149 366    167 513</w:t>
      </w:r>
    </w:p>
    <w:p>
      <w:r>
        <w:rPr>
          <w:rFonts w:ascii="Courier New" w:hAnsi="Courier New"/>
          <w:sz w:val="17"/>
        </w:rPr>
        <w:t xml:space="preserve">200    122 516    142 425    142 425    163 866    163 866    183 774</w:t>
      </w:r>
    </w:p>
    <w:p>
      <w:r>
        <w:rPr>
          <w:rFonts w:ascii="Courier New" w:hAnsi="Courier New"/>
          <w:sz w:val="17"/>
        </w:rPr>
        <w:t xml:space="preserve">225    133 555    155 258    155 258    178 630    178 630    200 333</w:t>
      </w:r>
    </w:p>
    <w:p>
      <w:r>
        <w:rPr>
          <w:rFonts w:ascii="Courier New" w:hAnsi="Courier New"/>
          <w:sz w:val="17"/>
        </w:rPr>
        <w:t xml:space="preserve">250    144 284    167 730    167 730    192 980    192 980    216 426</w:t>
      </w:r>
    </w:p>
    <w:p>
      <w:r>
        <w:t xml:space="preserve">(2) Das Honorar für Grundleistungen bei Grünordnungsplänen ist nach der Fläche des Planungsgebiets in Hektar und nach der Honorarzone zu berechnen.</w:t>
      </w:r>
    </w:p>
    <w:p>
      <w:r>
        <w:t xml:space="preserve">(3) Welchen Honorarzonen die Grundleistungen zugeordnet werden, richtet sich nach folgenden Bewertungsmerkmalen:</w:t>
      </w:r>
    </w:p>
    <w:p>
      <w:pPr>
        <w:ind w:left="420"/>
      </w:pPr>
      <w:r>
        <w:t xml:space="preserve">1. Topographie,</w:t>
      </w:r>
    </w:p>
    <w:p>
      <w:pPr>
        <w:ind w:left="420"/>
      </w:pPr>
      <w:r>
        <w:t xml:space="preserve">2. ökologische Verhältnisse,</w:t>
      </w:r>
    </w:p>
    <w:p>
      <w:pPr>
        <w:ind w:left="420"/>
      </w:pPr>
      <w:r>
        <w:t xml:space="preserve">3. Flächennutzungen und Schutzgebiete,</w:t>
      </w:r>
    </w:p>
    <w:p>
      <w:pPr>
        <w:ind w:left="420"/>
      </w:pPr>
      <w:r>
        <w:t xml:space="preserve">4. Umwelt-, Klima-, Denkmal- und Naturschutz,</w:t>
      </w:r>
    </w:p>
    <w:p>
      <w:pPr>
        <w:ind w:left="420"/>
      </w:pPr>
      <w:r>
        <w:t xml:space="preserve">5. Erholungsvorsorge,</w:t>
      </w:r>
    </w:p>
    <w:p>
      <w:pPr>
        <w:ind w:left="420"/>
      </w:pPr>
      <w:r>
        <w:t xml:space="preserve">6. Anforderung an die Freiraumgestaltung.</w:t>
      </w:r>
    </w:p>
    <w:p>
      <w:r>
        <w:t xml:space="preserve">(4) Sind auf einen Grünordnungsplan Bewertungsmerkmale aus mehreren Honorarzonen anwendbar und bestehen deswegen Zweifel, welcher Honorarzone der Grünordnungsplan zugeordnet werden kann, so ist zunächst die Anzahl der Bewertungspunkte zu ermitteln. Zur Ermittlung der Bewertungspunkte werden die Bewertungsmerkmale wie folgt gewichtet:</w:t>
      </w:r>
    </w:p>
    <w:p>
      <w:pPr>
        <w:ind w:left="420"/>
      </w:pPr>
      <w:r>
        <w:t xml:space="preserve">1. die Bewertungsmerkmale gemäß Absatz 3 Nummer 1, 2, 3 und 5 mit je bis zu 6 Punkten und</w:t>
      </w:r>
    </w:p>
    <w:p>
      <w:pPr>
        <w:ind w:left="420"/>
      </w:pPr>
      <w:r>
        <w:t xml:space="preserve">2. die Bewertungsmerkmale gemäß Absatz 3 Nummer 4 und 6 mit je bis zu 9 Punkten.</w:t>
      </w:r>
    </w:p>
    <w:p>
      <w:r>
        <w:t xml:space="preserve">(5) Der Grünordnungsplan ist anhand der nach Absatz 4 ermittelten Bewertungspunkte einer der Honorarzonen zuzuordnen:</w:t>
      </w:r>
    </w:p>
    <w:p>
      <w:pPr>
        <w:ind w:left="420"/>
      </w:pPr>
      <w:r>
        <w:t xml:space="preserve">1. Honorarzone I: bis zu 16 Punkte,</w:t>
      </w:r>
    </w:p>
    <w:p>
      <w:pPr>
        <w:ind w:left="420"/>
      </w:pPr>
      <w:r>
        <w:t xml:space="preserve">2. Honorarzone II: 17 bis 30 Punkte,</w:t>
      </w:r>
    </w:p>
    <w:p>
      <w:pPr>
        <w:ind w:left="420"/>
      </w:pPr>
      <w:r>
        <w:t xml:space="preserve">3. Honorarzone III: 31 bis 42 Punkte.</w:t>
      </w:r>
    </w:p>
    <w:p>
      <w:r>
        <w:t xml:space="preserve">(6) Wird die Größe des Planungsgebiets während der Leistungserbringung geändert, so ist das Honorar für die Leistungsphasen, die bis zur Änderung noch nicht erbracht sind, nach der geänderten Größe des Planungsgebiets zu berechnen.</w:t>
      </w:r>
    </w:p>
    <w:p>
      <w:r>
        <w:rPr>
          <w:color w:val="555555"/>
          <w:sz w:val="17"/>
        </w:rPr>
        <w:t xml:space="preserve">Zitiervorschlag: § 29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