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HOAI 2013 — Leistungsbild Grünordnungsplan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bei Grünordnungsplänen und Landschaftsplanerischen Fachbeiträgen sind in vier Leistungsphasen zusammengefasst und werden wie folgt in Prozentsätzen der Honorare des § 29 bewertet:</w:t>
      </w:r>
    </w:p>
    <w:p>
      <w:pPr>
        <w:ind w:left="420"/>
      </w:pPr>
      <w:r>
        <w:t xml:space="preserve">1. für die Leistungsphase 1 (Klären der Aufgabenstellung und Ermitteln des Leistungsumfangs) mit 3 Prozent,</w:t>
      </w:r>
    </w:p>
    <w:p>
      <w:pPr>
        <w:ind w:left="420"/>
      </w:pPr>
      <w:r>
        <w:t xml:space="preserve">2. für die Leistungsphase 2 (Ermitteln der Planungsgrundlagen) mit 37 Prozent,</w:t>
      </w:r>
    </w:p>
    <w:p>
      <w:pPr>
        <w:ind w:left="420"/>
      </w:pPr>
      <w:r>
        <w:t xml:space="preserve">3. für die Leistungsphase 3 (Vorläufige Fassung) mit 50 Prozent,</w:t>
      </w:r>
    </w:p>
    <w:p>
      <w:pPr>
        <w:ind w:left="420"/>
      </w:pPr>
      <w:r>
        <w:t xml:space="preserve">4. für die Leistungsphase 4 (Abgestimmte Fassung) mit 10 Prozent.</w:t>
      </w:r>
    </w:p>
    <w:p>
      <w:r>
        <w:t xml:space="preserve">(2) Anlage 5 regelt die Grundleistungen jeder Leistungsphase. Anlage 9 enthält Beispiele für Besondere Leistungen.</w:t>
      </w:r>
    </w:p>
    <w:p>
      <w:r>
        <w:rPr>
          <w:color w:val="555555"/>
          <w:sz w:val="17"/>
        </w:rPr>
        <w:t xml:space="preserve">Zitiervorschlag: § 24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