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HOAI 2013 — Honorare für Grundleistungen bei Bebauungsplänen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19 und Anlage 3 genannten Grundleistungen bei Bebauungsplänen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0,5    5 000    5 335    5 335    7 838    7 838    10 341</w:t>
      </w:r>
    </w:p>
    <w:p>
      <w:r>
        <w:rPr>
          <w:rFonts w:ascii="Courier New" w:hAnsi="Courier New"/>
          <w:sz w:val="17"/>
        </w:rPr>
        <w:t xml:space="preserve">1    5 000    8 799    8 799    12 926    12 926    17 054</w:t>
      </w:r>
    </w:p>
    <w:p>
      <w:r>
        <w:rPr>
          <w:rFonts w:ascii="Courier New" w:hAnsi="Courier New"/>
          <w:sz w:val="17"/>
        </w:rPr>
        <w:t xml:space="preserve">2    7 699    14 502    14 502    21 305    21 305    28 109</w:t>
      </w:r>
    </w:p>
    <w:p>
      <w:r>
        <w:rPr>
          <w:rFonts w:ascii="Courier New" w:hAnsi="Courier New"/>
          <w:sz w:val="17"/>
        </w:rPr>
        <w:t xml:space="preserve">3    10 306    19 413    19 413    28 521    28 521    37 628</w:t>
      </w:r>
    </w:p>
    <w:p>
      <w:r>
        <w:rPr>
          <w:rFonts w:ascii="Courier New" w:hAnsi="Courier New"/>
          <w:sz w:val="17"/>
        </w:rPr>
        <w:t xml:space="preserve">4    12 669    23 866    23 866    35 062    35 062    46 258</w:t>
      </w:r>
    </w:p>
    <w:p>
      <w:r>
        <w:rPr>
          <w:rFonts w:ascii="Courier New" w:hAnsi="Courier New"/>
          <w:sz w:val="17"/>
        </w:rPr>
        <w:t xml:space="preserve">5    14 864    28 000    28 000    41 135    41 135    54 271</w:t>
      </w:r>
    </w:p>
    <w:p>
      <w:r>
        <w:rPr>
          <w:rFonts w:ascii="Courier New" w:hAnsi="Courier New"/>
          <w:sz w:val="17"/>
        </w:rPr>
        <w:t xml:space="preserve">6    16 931    31 893    31 893    46 856    46 856    61 818</w:t>
      </w:r>
    </w:p>
    <w:p>
      <w:r>
        <w:rPr>
          <w:rFonts w:ascii="Courier New" w:hAnsi="Courier New"/>
          <w:sz w:val="17"/>
        </w:rPr>
        <w:t xml:space="preserve">7    18 896    35 595    35 595    52 294    52 294    68 992</w:t>
      </w:r>
    </w:p>
    <w:p>
      <w:r>
        <w:rPr>
          <w:rFonts w:ascii="Courier New" w:hAnsi="Courier New"/>
          <w:sz w:val="17"/>
        </w:rPr>
        <w:t xml:space="preserve">8    20 776    39 137    39 137    57 497    57 497    75 857</w:t>
      </w:r>
    </w:p>
    <w:p>
      <w:r>
        <w:rPr>
          <w:rFonts w:ascii="Courier New" w:hAnsi="Courier New"/>
          <w:sz w:val="17"/>
        </w:rPr>
        <w:t xml:space="preserve">9    22 584    42 542    42 542    62 501    62 501    82 459</w:t>
      </w:r>
    </w:p>
    <w:p>
      <w:r>
        <w:rPr>
          <w:rFonts w:ascii="Courier New" w:hAnsi="Courier New"/>
          <w:sz w:val="17"/>
        </w:rPr>
        <w:t xml:space="preserve">10    24 330    45 830    45 830    67 331    67 331    88 831</w:t>
      </w:r>
    </w:p>
    <w:p>
      <w:r>
        <w:rPr>
          <w:rFonts w:ascii="Courier New" w:hAnsi="Courier New"/>
          <w:sz w:val="17"/>
        </w:rPr>
        <w:t xml:space="preserve">15    32 325    60 892    60 892    89 458    89 458    118 025</w:t>
      </w:r>
    </w:p>
    <w:p>
      <w:r>
        <w:rPr>
          <w:rFonts w:ascii="Courier New" w:hAnsi="Courier New"/>
          <w:sz w:val="17"/>
        </w:rPr>
        <w:t xml:space="preserve">20    39 427    74 270    74 270    109 113    109 113    143 956</w:t>
      </w:r>
    </w:p>
    <w:p>
      <w:r>
        <w:rPr>
          <w:rFonts w:ascii="Courier New" w:hAnsi="Courier New"/>
          <w:sz w:val="17"/>
        </w:rPr>
        <w:t xml:space="preserve">25    46 385    87 376    87 376    128 366    128 366    169 357</w:t>
      </w:r>
    </w:p>
    <w:p>
      <w:r>
        <w:rPr>
          <w:rFonts w:ascii="Courier New" w:hAnsi="Courier New"/>
          <w:sz w:val="17"/>
        </w:rPr>
        <w:t xml:space="preserve">30    52 975    99 791    99 791    146 606    146 606    193 422</w:t>
      </w:r>
    </w:p>
    <w:p>
      <w:r>
        <w:rPr>
          <w:rFonts w:ascii="Courier New" w:hAnsi="Courier New"/>
          <w:sz w:val="17"/>
        </w:rPr>
        <w:t xml:space="preserve">40    65 342    123 086    123 086    180 830    180 830    238 574</w:t>
      </w:r>
    </w:p>
    <w:p>
      <w:r>
        <w:rPr>
          <w:rFonts w:ascii="Courier New" w:hAnsi="Courier New"/>
          <w:sz w:val="17"/>
        </w:rPr>
        <w:t xml:space="preserve">50    76 901    144 860    144 860    212 819    212 819    280 778</w:t>
      </w:r>
    </w:p>
    <w:p>
      <w:r>
        <w:rPr>
          <w:rFonts w:ascii="Courier New" w:hAnsi="Courier New"/>
          <w:sz w:val="17"/>
        </w:rPr>
        <w:t xml:space="preserve">60    87 599    165 012    165 012    242 425    242 425    319 838</w:t>
      </w:r>
    </w:p>
    <w:p>
      <w:r>
        <w:rPr>
          <w:rFonts w:ascii="Courier New" w:hAnsi="Courier New"/>
          <w:sz w:val="17"/>
        </w:rPr>
        <w:t xml:space="preserve">80    107 471    202 445    202 445    297 419    297 419    392 393</w:t>
      </w:r>
    </w:p>
    <w:p>
      <w:r>
        <w:rPr>
          <w:rFonts w:ascii="Courier New" w:hAnsi="Courier New"/>
          <w:sz w:val="17"/>
        </w:rPr>
        <w:t xml:space="preserve">100    125 791    236 955    236 955    348 119    348 119    459 282</w:t>
      </w:r>
    </w:p>
    <w:p>
      <w:r>
        <w:t xml:space="preserve">(2) Das Honorar für die Aufstellung von Bebauungsplänen ist nach der Fläche des Plangebiets in Hektar und nach der Honorarzone zu berechnen.</w:t>
      </w:r>
    </w:p>
    <w:p>
      <w:r>
        <w:t xml:space="preserve">(3) Welchen Honorarzonen die Grundleistungen zugeordnet werden, richtet sich nach folgenden Bewertungsmerkmalen:</w:t>
      </w:r>
    </w:p>
    <w:p>
      <w:pPr>
        <w:ind w:left="420"/>
      </w:pPr>
      <w:r>
        <w:t xml:space="preserve">1. Nutzungsvielfalt und Nutzungsdichte,</w:t>
      </w:r>
    </w:p>
    <w:p>
      <w:pPr>
        <w:ind w:left="420"/>
      </w:pPr>
      <w:r>
        <w:t xml:space="preserve">2. Baustruktur und Baudichte,</w:t>
      </w:r>
    </w:p>
    <w:p>
      <w:pPr>
        <w:ind w:left="420"/>
      </w:pPr>
      <w:r>
        <w:t xml:space="preserve">3. Gestaltung und Denkmalschutz,</w:t>
      </w:r>
    </w:p>
    <w:p>
      <w:pPr>
        <w:ind w:left="420"/>
      </w:pPr>
      <w:r>
        <w:t xml:space="preserve">4. Verkehr und Infrastruktur,</w:t>
      </w:r>
    </w:p>
    <w:p>
      <w:pPr>
        <w:ind w:left="420"/>
      </w:pPr>
      <w:r>
        <w:t xml:space="preserve">5. Topografie und Landschaft,</w:t>
      </w:r>
    </w:p>
    <w:p>
      <w:pPr>
        <w:ind w:left="420"/>
      </w:pPr>
      <w:r>
        <w:t xml:space="preserve">6. Klima-,Natur- und Umweltschutz.</w:t>
      </w:r>
    </w:p>
    <w:p>
      <w:r>
        <w:t xml:space="preserve">(4) Für die Ermittlung der Honorarzone bei Bebauungsplänen ist § 20 Absatz 4 und 5 entsprechend anzuwenden.</w:t>
      </w:r>
    </w:p>
    <w:p>
      <w:r>
        <w:t xml:space="preserve">(5) Wird die Größe des Plangebiets im förmlichen Verfahren während der Leistungserbringung geändert, so ist das Honorar für die Leistungsphasen, die bis zur Änderung noch nicht erbracht sind, nach der geänderten Größe des Plangebiets zu berechnen.</w:t>
      </w:r>
    </w:p>
    <w:p>
      <w:r>
        <w:rPr>
          <w:color w:val="555555"/>
          <w:sz w:val="17"/>
        </w:rPr>
        <w:t xml:space="preserve">Zitiervorschlag: § 21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