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HOAI 2013 — Honorare für Grundleistungen bei Flächennutzungsplänen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18 und Anlage 2 genannten Grundleistungen bei Flächennutzungsplänen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1 000    70 439    85 269    85 269    100 098    100 098    114 927</w:t>
      </w:r>
    </w:p>
    <w:p>
      <w:r>
        <w:rPr>
          <w:rFonts w:ascii="Courier New" w:hAnsi="Courier New"/>
          <w:sz w:val="17"/>
        </w:rPr>
        <w:t xml:space="preserve">1 250    78 957    95 579    95 579    112 202    112 202    128 824</w:t>
      </w:r>
    </w:p>
    <w:p>
      <w:r>
        <w:rPr>
          <w:rFonts w:ascii="Courier New" w:hAnsi="Courier New"/>
          <w:sz w:val="17"/>
        </w:rPr>
        <w:t xml:space="preserve">1 500    86 492    104 700    104 700    122 909    122 909    141 118</w:t>
      </w:r>
    </w:p>
    <w:p>
      <w:r>
        <w:rPr>
          <w:rFonts w:ascii="Courier New" w:hAnsi="Courier New"/>
          <w:sz w:val="17"/>
        </w:rPr>
        <w:t xml:space="preserve">1 750    93 260    112 894    112 894    132 527    132 527    152 161</w:t>
      </w:r>
    </w:p>
    <w:p>
      <w:r>
        <w:rPr>
          <w:rFonts w:ascii="Courier New" w:hAnsi="Courier New"/>
          <w:sz w:val="17"/>
        </w:rPr>
        <w:t xml:space="preserve">2 000    99 407    120 334    120 334    141 262    141 262    162 190</w:t>
      </w:r>
    </w:p>
    <w:p>
      <w:r>
        <w:rPr>
          <w:rFonts w:ascii="Courier New" w:hAnsi="Courier New"/>
          <w:sz w:val="17"/>
        </w:rPr>
        <w:t xml:space="preserve">2 500    111 311    134 745    134 745    158 178    158 178    181 612</w:t>
      </w:r>
    </w:p>
    <w:p>
      <w:r>
        <w:rPr>
          <w:rFonts w:ascii="Courier New" w:hAnsi="Courier New"/>
          <w:sz w:val="17"/>
        </w:rPr>
        <w:t xml:space="preserve">3 000    121 868    147 525    147 525    173 181    173 181    198 838</w:t>
      </w:r>
    </w:p>
    <w:p>
      <w:r>
        <w:rPr>
          <w:rFonts w:ascii="Courier New" w:hAnsi="Courier New"/>
          <w:sz w:val="17"/>
        </w:rPr>
        <w:t xml:space="preserve">3 500    131 387    159 047    159 047    186 707    186 707    214 367</w:t>
      </w:r>
    </w:p>
    <w:p>
      <w:r>
        <w:rPr>
          <w:rFonts w:ascii="Courier New" w:hAnsi="Courier New"/>
          <w:sz w:val="17"/>
        </w:rPr>
        <w:t xml:space="preserve">4 000    140 069    169 557    169 557    199 045    199 045    228 533</w:t>
      </w:r>
    </w:p>
    <w:p>
      <w:r>
        <w:rPr>
          <w:rFonts w:ascii="Courier New" w:hAnsi="Courier New"/>
          <w:sz w:val="17"/>
        </w:rPr>
        <w:t xml:space="preserve">5 000    155 461    188 190    188 190    220 918    220 918    253 647</w:t>
      </w:r>
    </w:p>
    <w:p>
      <w:r>
        <w:rPr>
          <w:rFonts w:ascii="Courier New" w:hAnsi="Courier New"/>
          <w:sz w:val="17"/>
        </w:rPr>
        <w:t xml:space="preserve">6 000    168 813    204 352    204 352    239 892    239 892    275 431</w:t>
      </w:r>
    </w:p>
    <w:p>
      <w:r>
        <w:rPr>
          <w:rFonts w:ascii="Courier New" w:hAnsi="Courier New"/>
          <w:sz w:val="17"/>
        </w:rPr>
        <w:t xml:space="preserve">7 000    180 589    218 607    218 607    256 626    256 626    294 645</w:t>
      </w:r>
    </w:p>
    <w:p>
      <w:r>
        <w:rPr>
          <w:rFonts w:ascii="Courier New" w:hAnsi="Courier New"/>
          <w:sz w:val="17"/>
        </w:rPr>
        <w:t xml:space="preserve">8 000    191 097    231 328    231 328    271 559    271 559    311 790</w:t>
      </w:r>
    </w:p>
    <w:p>
      <w:r>
        <w:rPr>
          <w:rFonts w:ascii="Courier New" w:hAnsi="Courier New"/>
          <w:sz w:val="17"/>
        </w:rPr>
        <w:t xml:space="preserve">9 000    200 556    242 779    242 779    285 001    285 001    327 224</w:t>
      </w:r>
    </w:p>
    <w:p>
      <w:r>
        <w:rPr>
          <w:rFonts w:ascii="Courier New" w:hAnsi="Courier New"/>
          <w:sz w:val="17"/>
        </w:rPr>
        <w:t xml:space="preserve">10 000    209 126    253 153    253 153    297 179    297 179    341 206</w:t>
      </w:r>
    </w:p>
    <w:p>
      <w:r>
        <w:rPr>
          <w:rFonts w:ascii="Courier New" w:hAnsi="Courier New"/>
          <w:sz w:val="17"/>
        </w:rPr>
        <w:t xml:space="preserve">11 000    216 893    262 555    262 555    308 217    308 217    353 878</w:t>
      </w:r>
    </w:p>
    <w:p>
      <w:r>
        <w:rPr>
          <w:rFonts w:ascii="Courier New" w:hAnsi="Courier New"/>
          <w:sz w:val="17"/>
        </w:rPr>
        <w:t xml:space="preserve">12 000    223 912    271 052    271 052    318 191    318 191    365 331</w:t>
      </w:r>
    </w:p>
    <w:p>
      <w:r>
        <w:rPr>
          <w:rFonts w:ascii="Courier New" w:hAnsi="Courier New"/>
          <w:sz w:val="17"/>
        </w:rPr>
        <w:t xml:space="preserve">13 000    230 331    278 822    278 822    327 313    327 313    375 804</w:t>
      </w:r>
    </w:p>
    <w:p>
      <w:r>
        <w:rPr>
          <w:rFonts w:ascii="Courier New" w:hAnsi="Courier New"/>
          <w:sz w:val="17"/>
        </w:rPr>
        <w:t xml:space="preserve">14 000    236 214    285 944    285 944    335 673    335 673    385 402</w:t>
      </w:r>
    </w:p>
    <w:p>
      <w:r>
        <w:rPr>
          <w:rFonts w:ascii="Courier New" w:hAnsi="Courier New"/>
          <w:sz w:val="17"/>
        </w:rPr>
        <w:t xml:space="preserve">15 000    241 614    292 480    292 480    343 346    343 346    394 213</w:t>
      </w:r>
    </w:p>
    <w:p>
      <w:r>
        <w:t xml:space="preserve">(2) Das Honorar für die Aufstellung von Flächennutzungsplänen ist nach der Fläche des Plangebiets in Hektar und nach der Honorarzone zu berechnen.</w:t>
      </w:r>
    </w:p>
    <w:p>
      <w:r>
        <w:t xml:space="preserve">(3) Welchen Honorarzonen die Grundleistungen zugeordnet werden, richtet sich nach folgenden Bewertungsmerkmalen:</w:t>
      </w:r>
    </w:p>
    <w:p>
      <w:pPr>
        <w:ind w:left="420"/>
      </w:pPr>
      <w:r>
        <w:t xml:space="preserve">1. zentralörtliche Bedeutung und Gemeindestruktur,</w:t>
      </w:r>
    </w:p>
    <w:p>
      <w:pPr>
        <w:ind w:left="420"/>
      </w:pPr>
      <w:r>
        <w:t xml:space="preserve">2. Nutzungsvielfalt und Nutzungsdichte,</w:t>
      </w:r>
    </w:p>
    <w:p>
      <w:pPr>
        <w:ind w:left="420"/>
      </w:pPr>
      <w:r>
        <w:t xml:space="preserve">3. Einwohnerstruktur, Einwohnerentwicklung und Gemeinbedarfsstandorte,</w:t>
      </w:r>
    </w:p>
    <w:p>
      <w:pPr>
        <w:ind w:left="420"/>
      </w:pPr>
      <w:r>
        <w:t xml:space="preserve">4. Verkehr und Infrastruktur,</w:t>
      </w:r>
    </w:p>
    <w:p>
      <w:pPr>
        <w:ind w:left="420"/>
      </w:pPr>
      <w:r>
        <w:t xml:space="preserve">5. Topografie, Geologie und Kulturlandschaft,</w:t>
      </w:r>
    </w:p>
    <w:p>
      <w:pPr>
        <w:ind w:left="420"/>
      </w:pPr>
      <w:r>
        <w:t xml:space="preserve">6. Klima-, Natur- und Umweltschutz.</w:t>
      </w:r>
    </w:p>
    <w:p>
      <w:r>
        <w:t xml:space="preserve">(4) Sind auf einen Flächennutzungsplan Bewertungsmerkmale aus mehreren Honorarzonen anwendbar und bestehen deswegen Zweifel, welcher Honorarzone der Flächennutzungsplan zugeordnet werden kann, so ist zunächst die Anzahl der Bewertungspunkte zu ermitteln. Zur Ermittlung der Bewertungspunkte werden die Bewertungsmerkmale wie folgt gewichtet:</w:t>
      </w:r>
    </w:p>
    <w:p>
      <w:pPr>
        <w:ind w:left="420"/>
      </w:pPr>
      <w:r>
        <w:t xml:space="preserve">1. geringe Anforderungen: 1 Punkt,</w:t>
      </w:r>
    </w:p>
    <w:p>
      <w:pPr>
        <w:ind w:left="420"/>
      </w:pPr>
      <w:r>
        <w:t xml:space="preserve">2. durchschnittliche Anforderungen: 2 Punkte,</w:t>
      </w:r>
    </w:p>
    <w:p>
      <w:pPr>
        <w:ind w:left="420"/>
      </w:pPr>
      <w:r>
        <w:t xml:space="preserve">3. hohe Anforderungen: 3 Punkte.</w:t>
      </w:r>
    </w:p>
    <w:p>
      <w:r>
        <w:t xml:space="preserve">(5) Der Flächennutzungsplan ist anhand der nach Absatz 4 ermittelten Bewertungspunkte einer der Honorarzonen zuzuordnen:</w:t>
      </w:r>
    </w:p>
    <w:p>
      <w:pPr>
        <w:ind w:left="420"/>
      </w:pPr>
      <w:r>
        <w:t xml:space="preserve">1. Honorarzone I: bis zu 9 Punkte,</w:t>
      </w:r>
    </w:p>
    <w:p>
      <w:pPr>
        <w:ind w:left="420"/>
      </w:pPr>
      <w:r>
        <w:t xml:space="preserve">2. Honorarzone II: 10 bis 14 Punkte,</w:t>
      </w:r>
    </w:p>
    <w:p>
      <w:pPr>
        <w:ind w:left="420"/>
      </w:pPr>
      <w:r>
        <w:t xml:space="preserve">3. Honorarzone III: 15 bis 18 Punkte.</w:t>
      </w:r>
    </w:p>
    <w:p>
      <w:r>
        <w:t xml:space="preserve">(6) Werden Teilflächen bereits aufgestellter Flächennutzungspläne (Planausschnitte) geändert oder überarbeitet, kann das Honorar auch abweichend von den Grundsätzen des Absatzes 2 vereinbart werden.</w:t>
      </w:r>
    </w:p>
    <w:p>
      <w:r>
        <w:rPr>
          <w:color w:val="555555"/>
          <w:sz w:val="17"/>
        </w:rPr>
        <w:t xml:space="preserve">Zitiervorschlag: § 20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