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HOAI 2013 — Leistungsbild Bebauungsplan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Grundleistungen bei Bebauungsplänen sind in drei Leistungsphasen unterteilt und werden wie folgt in Prozentsätzen der Honorare des § 21 bewertet:</w:t>
      </w:r>
    </w:p>
    <w:p>
      <w:pPr>
        <w:ind w:left="420"/>
      </w:pPr>
      <w:r>
        <w:t xml:space="preserve">1. für die Leistungsphase 1 (Vorentwurf für die frühzeitigen Beteiligungen)Vorentwurf für die frühzeitigen Beteiligungen nach den Bestimmungen des Baugesetzbuches mit 60 Prozent,</w:t>
      </w:r>
    </w:p>
    <w:p>
      <w:pPr>
        <w:ind w:left="420"/>
      </w:pPr>
      <w:r>
        <w:t xml:space="preserve">2. für die Leistungsphase 2 (Entwurf zur öffentlichen Auslegung)Entwurf für die öffentliche Auslegung nach den Bestimmungen des Baugesetzbuches mit 30 Prozent,</w:t>
      </w:r>
    </w:p>
    <w:p>
      <w:pPr>
        <w:ind w:left="420"/>
      </w:pPr>
      <w:r>
        <w:t xml:space="preserve">3. für die Leistungsphase 3 (Plan zur Beschlussfassung)Plan für den Beschluss durch die Gemeinde mit 10 Prozent.</w:t>
      </w:r>
    </w:p>
    <w:p>
      <w:r>
        <w:t xml:space="preserve">Der Vorentwurf, Entwurf oder Plan ist jeweils in der vorgeschriebenen Fassung mit Begründung anzufertigen.</w:t>
      </w:r>
    </w:p>
    <w:p>
      <w:r>
        <w:t xml:space="preserve">(2) Anlage 3 regelt, welche Grundleistungen jede Leistungsphase umfasst. Anlage 9 enthält Beispiele für Besondere Leistungen.</w:t>
      </w:r>
    </w:p>
    <w:p>
      <w:r>
        <w:rPr>
          <w:color w:val="555555"/>
          <w:sz w:val="17"/>
        </w:rPr>
        <w:t xml:space="preserve">Zitiervorschlag: § 19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