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HOAI 2013 — Umsatzsteuer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Auftragnehmer hat Anspruch auf Ersatz der gesetzlich geschuldeten Umsatzsteuer für nach dieser Verordnung abrechenbare Leistungen, sofern nicht die Kleinunternehmerregelung nach § 19 des Umsatzsteuergesetzes angewendet wird. Satz 1 ist auch hinsichtlich der um die nach § 15 des Umsatzsteuergesetzes abziehbaren Vorsteuer gekürzten Nebenkosten anzuwenden, die nach § 14 dieser Verordnung weiterberechenbar sind.</w:t>
      </w:r>
    </w:p>
    <w:p>
      <w:r>
        <w:t xml:space="preserve">(2) Auslagen gehören nicht zum Entgelt für die Leistung des Auftragnehmers. Sie sind als durchlaufende Posten im umsatzsteuerrechtlichen Sinn einschließlich einer gegebenenfalls enthaltenen Umsatzsteuer weiter zu berechnen.</w:t>
      </w:r>
    </w:p>
    <w:p>
      <w:r>
        <w:rPr>
          <w:color w:val="555555"/>
          <w:sz w:val="17"/>
        </w:rPr>
        <w:t xml:space="preserve">Zitiervorschlag: § 16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