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HOAI 2013 — Nebenkosten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Der Auftragnehmer kann neben den Honoraren dieser Verordnung auch die für die Ausführung des Auftrags erforderlichen Nebenkosten in Rechnung stellen; ausgenommen sind die abziehbaren Vorsteuern gemäß § 15 Absatz 1 des Umsatzsteuergesetzes in der jeweils geltenden Fassung. Die Vertragsparteien können in Textform vereinbaren, dass abweichend von Satz 1 eine Erstattung ganz oder teilweise ausgeschlossen ist.</w:t>
      </w:r>
    </w:p>
    <w:p>
      <w:r>
        <w:t xml:space="preserve">(2) Zu den Nebenkosten gehören insbesondere:</w:t>
      </w:r>
    </w:p>
    <w:p>
      <w:pPr>
        <w:ind w:left="420"/>
      </w:pPr>
      <w:r>
        <w:t xml:space="preserve">1. Versandkosten, Kosten für Datenübertragungen,</w:t>
      </w:r>
    </w:p>
    <w:p>
      <w:pPr>
        <w:ind w:left="420"/>
      </w:pPr>
      <w:r>
        <w:t xml:space="preserve">2. Kosten für Vervielfältigungen von Zeichnungen und schriftlichen Unterlagen sowie für die Anfertigung von Filmen und Fotos,</w:t>
      </w:r>
    </w:p>
    <w:p>
      <w:pPr>
        <w:ind w:left="420"/>
      </w:pPr>
      <w:r>
        <w:t xml:space="preserve">3. Kosten für ein Baustellenbüro einschließlich der Einrichtung, Beleuchtung und Beheizung,</w:t>
      </w:r>
    </w:p>
    <w:p>
      <w:pPr>
        <w:ind w:left="420"/>
      </w:pPr>
      <w:r>
        <w:t xml:space="preserve">4. Fahrtkosten für Reisen, die über einen Umkreis von 15 Kilometern um den Geschäftssitz des Auftragnehmers hinausgehen, in Höhe der steuerlich zulässigen Pauschalsätze, sofern nicht höhere Aufwendungen nachgewiesen werden,</w:t>
      </w:r>
    </w:p>
    <w:p>
      <w:pPr>
        <w:ind w:left="420"/>
      </w:pPr>
      <w:r>
        <w:t xml:space="preserve">5. Trennungsentschädigungen und Kosten für Familienheimfahrten in Höhe der steuerlich zulässigen Pauschalsätze, sofern nicht höhere Aufwendungen an Mitarbeiter oder Mitarbeiterinnen des Auftragnehmers auf Grund von tariflichen Vereinbarungen bezahlt werden,</w:t>
      </w:r>
    </w:p>
    <w:p>
      <w:pPr>
        <w:ind w:left="420"/>
      </w:pPr>
      <w:r>
        <w:t xml:space="preserve">6. Entschädigungen für den sonstigen Aufwand bei längeren Reisen nach Nummer 4, sofern die Entschädigungen vor der Geschäftsreise in Textform vereinbart worden sind,</w:t>
      </w:r>
    </w:p>
    <w:p>
      <w:pPr>
        <w:ind w:left="420"/>
      </w:pPr>
      <w:r>
        <w:t xml:space="preserve">7. Entgelte für nicht dem Auftragnehmer obliegende Leistungen, die von ihm im Einvernehmen mit dem Auftraggeber Dritten übertragen worden sind.</w:t>
      </w:r>
    </w:p>
    <w:p>
      <w:r>
        <w:t xml:space="preserve">(3) Nebenkosten können pauschal oder nach Einzelnachweis abgerechnet werden. Sie sind nach Einzelnachweis abzurechnen, sofern keine pauschale Abrechnung in Textform vereinbart worden ist.</w:t>
      </w:r>
    </w:p>
    <w:p>
      <w:r>
        <w:rPr>
          <w:color w:val="555555"/>
          <w:sz w:val="17"/>
        </w:rPr>
        <w:t xml:space="preserve">Zitiervorschlag: § 14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