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HOAI 2013 — Berechnung des Honorars bei vertraglichen Änderungen des Leistungsumfangs</w:t>
      </w:r>
    </w:p>
    <w:p>
      <w:r>
        <w:rPr>
          <w:color w:val="555555"/>
          <w:sz w:val="18"/>
        </w:rPr>
        <w:t xml:space="preserve">Honorarordnung für Architekten und Ingenieure</w:t>
      </w:r>
    </w:p>
    <w:p>
      <w:r>
        <w:rPr>
          <w:color w:val="555555"/>
          <w:sz w:val="18"/>
        </w:rPr>
        <w:t xml:space="preserve">Stand: 01.01.2021 (konsolidierte Textfassung, kein amtliches Inkrafttretensdatum)</w:t>
      </w:r>
    </w:p>
    <w:p>
      <w:r>
        <w:t xml:space="preserve">(1) Einigen sich Auftraggeber und Auftragnehmer während der Laufzeit des Vertrags darauf, dass der Umfang der beauftragten Leistung geändert wird, und ändern sich dadurch die anrechenbaren Kosten, Flächen oder Verrechnungseinheiten, so ist die Honorarberechnungsgrundlage für die Grundleistungen, die infolge des veränderten Leistungsumfangs zu erbringen sind, durch Vereinbarung in Textform anzupassen.</w:t>
      </w:r>
    </w:p>
    <w:p>
      <w:r>
        <w:t xml:space="preserve">(2) Einigen sich Auftraggeber und Auftragnehmer über die Wiederholung von Grundleistungen, ohne dass sich dadurch die anrechenbaren Kosten, Flächen oder Verrechnungseinheiten ändern, ist das Honorar für diese Grundleistungen entsprechend ihrem Anteil an der jeweiligen Leistungsphase in Textform zu vereinbaren.</w:t>
      </w:r>
    </w:p>
    <w:p>
      <w:r>
        <w:rPr>
          <w:color w:val="555555"/>
          <w:sz w:val="17"/>
        </w:rPr>
        <w:t xml:space="preserve">Zitiervorschlag: § 10 HOAI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https://recht.nulegal.eu/gesetze/HOAI%202013/10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