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HNtV (Brandenburg) — Frühere Genehmigungen</w:t>
      </w:r>
    </w:p>
    <w:p>
      <w:r>
        <w:rPr>
          <w:color w:val="555555"/>
          <w:sz w:val="18"/>
        </w:rPr>
        <w:t xml:space="preserve">Hochschulnebentätigkeitsverordnung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bisher Nebentätigkeiten allgemein oder im Einzelfall genehmigt waren, gelten diese Genehmigungen fort, sofern sie nicht im Widerspruch zu dieser Verordnung stehen.</w:t>
      </w:r>
    </w:p>
    <w:p>
      <w:r>
        <w:t xml:space="preserve">(2) Soweit bestehende öffentlich-rechtliche Vereinbarungen,insbesondere Berufungsvereinbarungen oder Zusicherungen, die Nebentätigkeiten oder die Inanspruchnahme von Einrichtungen, Personal und Material regeln, dieser Verordnung widersprechen, sind sie den Vorschriften der Verordnung anzupassen.</w:t>
      </w:r>
    </w:p>
    <w:p>
      <w:r>
        <w:rPr>
          <w:color w:val="555555"/>
          <w:sz w:val="17"/>
        </w:rPr>
        <w:t xml:space="preserve">Zitiervorschlag: § 13 HNtV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https://recht.nulegal.eu/gesetze/HNtV/13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