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HNtV (Brandenburg) — Geltungsbereich</w:t>
      </w:r>
    </w:p>
    <w:p>
      <w:r>
        <w:rPr>
          <w:color w:val="555555"/>
          <w:sz w:val="18"/>
        </w:rPr>
        <w:t xml:space="preserve">Hochschulnebentätigkeitsverordnung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gilt für das an den Hochschulen des Landes hauptberuflich tätige beamtete wissenschaftliche und künstlerische Personal im Sinne des § 46 des Brandenburgischen Hochschulgesetzes. Sie gilt auch für Ruhestandsbeamte und frühere Beamte hinsichtlich der Nebentätigkeiten, die sie vor dem Eintritt in den Ruhestand oder anderweitiger Beendigung des Beamtenverhältnisses ausgeübt haben.</w:t>
      </w:r>
    </w:p>
    <w:p>
      <w:r>
        <w:t xml:space="preserve">(2) Für das im Angestelltenverhältnis hauptberuflich tätige wissenschaftliche und künstlerische Personal gilt die Verordnung entsprechend.</w:t>
      </w:r>
    </w:p>
    <w:p>
      <w:r>
        <w:t xml:space="preserve">(3) Die allgemeinen Vorschriften über die Nebentätigkeiten der Beamten des Landes Brandenburg finden in der jeweils geltenden Fassung Anwendung, soweit nachstehend nichts anderes bestimmt ist.</w:t>
      </w:r>
    </w:p>
    <w:p>
      <w:r>
        <w:rPr>
          <w:color w:val="555555"/>
          <w:sz w:val="17"/>
        </w:rPr>
        <w:t xml:space="preserve">Zitiervorschlag: § 1 HNtV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