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HNSPflichtVersBeschV — Ordnungswidrigkeiten</w:t>
      </w:r>
    </w:p>
    <w:p>
      <w:r>
        <w:rPr>
          <w:color w:val="555555"/>
          <w:sz w:val="18"/>
        </w:rPr>
        <w:t xml:space="preserve">HNS-Pflichtversicherungsbescheinigungsverordnung</w:t>
      </w:r>
    </w:p>
    <w:p>
      <w:r>
        <w:rPr>
          <w:color w:val="555555"/>
          <w:sz w:val="18"/>
        </w:rPr>
        <w:t xml:space="preserve">Stand: 18.09.2021 (konsolidierte Textfassung, kein amtliches Inkrafttretensdatum)</w:t>
      </w:r>
    </w:p>
    <w:p>
      <w:r>
        <w:t xml:space="preserve">Ordnungswidrig im Sinne des § 12 Absatz 1 Nummer 1 des HNS-Gesetzes handelt, wer vorsätzlich oder fahrlässig entgegen § 4 Nummer 1 oder 2 eine Mitteilung nicht, nicht richtig, nicht vollständig oder nicht rechtzeitig macht.</w:t>
      </w:r>
    </w:p>
    <w:p>
      <w:r>
        <w:rPr>
          <w:color w:val="555555"/>
          <w:sz w:val="17"/>
        </w:rPr>
        <w:t xml:space="preserve">Zitiervorschlag: § 6 HNSPflichtVersBeschV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https://recht.nulegal.eu/gesetze/HNSPflichtVersBeschV/6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