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HNSPflichtVersBeschV — Pflichten des Antragstellers</w:t>
      </w:r>
    </w:p>
    <w:p>
      <w:r>
        <w:rPr>
          <w:color w:val="555555"/>
          <w:sz w:val="18"/>
        </w:rPr>
        <w:t xml:space="preserve">HNS-Pflichtversicherungsbescheinigungsverordnung</w:t>
      </w:r>
    </w:p>
    <w:p>
      <w:r>
        <w:rPr>
          <w:color w:val="555555"/>
          <w:sz w:val="18"/>
        </w:rPr>
        <w:t xml:space="preserve">Stand: 18.09.2021 (konsolidierte Textfassung, kein amtliches Inkrafttretensdatum)</w:t>
      </w:r>
    </w:p>
    <w:p>
      <w:r>
        <w:t xml:space="preserve">Nach Ausstellung der HNS-Pflichtversicherungsbescheinigung ist der Eigentümer verpflichtet, dem Bundesamt für Seeschifffahrt und Hydrographie Folgendes unverzüglich mitzuteilen:</w:t>
      </w:r>
    </w:p>
    <w:p>
      <w:pPr>
        <w:ind w:left="420"/>
      </w:pPr>
      <w:r>
        <w:t xml:space="preserve">1. eine vorzeitige Beendigung der Versicherung oder der sonstigen Sicherheit,</w:t>
      </w:r>
    </w:p>
    <w:p>
      <w:pPr>
        <w:ind w:left="420"/>
      </w:pPr>
      <w:r>
        <w:t xml:space="preserve">2. jede weitere Änderung der Versicherung oder der sonstigen Sicherheit, die dazu führt, dass die Versicherung oder die sonstige Sicherheit nicht mehr den Voraussetzungen des Artikels 12 Absatz 1 in Verbindung mit Artikel 9 Absatz 1 des HNS-Übereinkommens 2010 genügt, sowie</w:t>
      </w:r>
    </w:p>
    <w:p>
      <w:pPr>
        <w:ind w:left="420"/>
      </w:pPr>
      <w:r>
        <w:t xml:space="preserve">3. jede Änderung der in § 2 Absatz 2 genannten Angaben.</w:t>
      </w:r>
    </w:p>
    <w:p>
      <w:r>
        <w:rPr>
          <w:color w:val="555555"/>
          <w:sz w:val="17"/>
        </w:rPr>
        <w:t xml:space="preserve">Zitiervorschlag: § 4 HNSPflichtVersBeschV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https://recht.nulegal.eu/gesetze/HNSPflichtVersBeschV/4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