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HNSPflichtVersBeschV — Voraussetzungen für die Ausstellung der HNS-Pflichtversicherungsbescheinigung</w:t>
      </w:r>
    </w:p>
    <w:p>
      <w:r>
        <w:rPr>
          <w:color w:val="555555"/>
          <w:sz w:val="18"/>
        </w:rPr>
        <w:t xml:space="preserve">HNS-Pflichtversicherungsbescheinigungsverordnung</w:t>
      </w:r>
    </w:p>
    <w:p>
      <w:r>
        <w:rPr>
          <w:color w:val="555555"/>
          <w:sz w:val="18"/>
        </w:rPr>
        <w:t xml:space="preserve">Stand: 18.09.2021 (konsolidierte Textfassung, kein amtliches Inkrafttretensdatum)</w:t>
      </w:r>
    </w:p>
    <w:p>
      <w:r>
        <w:t xml:space="preserve">(1) Die Ausstellung einer HNS-Pflichtversicherungsbescheinigung setzt einen schriftlichen oder elektronischen Antrag des Eigentümers des Schiffes an das Bundesamt für Seeschifffahrt und Hydrographie voraus.</w:t>
      </w:r>
    </w:p>
    <w:p>
      <w:r>
        <w:t xml:space="preserve">(2) Der Antrag muss enthalten:</w:t>
      </w:r>
    </w:p>
    <w:p>
      <w:pPr>
        <w:ind w:left="420"/>
      </w:pPr>
      <w:r>
        <w:t xml:space="preserve">1. Name, Unterscheidungssignal, IMO-Schiffsidentifikationsnummer und Heimathafen des Schiffs,</w:t>
      </w:r>
    </w:p>
    <w:p>
      <w:pPr>
        <w:ind w:left="420"/>
      </w:pPr>
      <w:r>
        <w:t xml:space="preserve">2. Name und Anschrift des Hauptgeschäftssitzes des Eigentümers einschließlich Telefonnummer und E-Mail-Adresse,</w:t>
      </w:r>
    </w:p>
    <w:p>
      <w:pPr>
        <w:ind w:left="420"/>
      </w:pPr>
      <w:r>
        <w:t xml:space="preserve">3. Art und Laufzeit der Sicherheit,</w:t>
      </w:r>
    </w:p>
    <w:p>
      <w:pPr>
        <w:ind w:left="420"/>
      </w:pPr>
      <w:r>
        <w:t xml:space="preserve">4. Name und Anschrift des Hauptgeschäftssitzes des Versicherers oder sonstigen Sicherheitsgebers und des Geschäftssitzes, an dem die Versicherung oder Sicherheit gewährt wird.</w:t>
      </w:r>
    </w:p>
    <w:p>
      <w:r>
        <w:t xml:space="preserve">(3) Dem Antrag sind beizufügen:</w:t>
      </w:r>
    </w:p>
    <w:p>
      <w:pPr>
        <w:ind w:left="420"/>
      </w:pPr>
      <w:r>
        <w:t xml:space="preserve">1. eine Erklärung des Versicherers oder Sicherheitsgebers, dass</w:t>
      </w:r>
    </w:p>
    <w:p>
      <w:pPr>
        <w:ind w:left="780"/>
      </w:pPr>
      <w:r>
        <w:t xml:space="preserve">a) die Versicherung oder die sonstige finanzielle Sicherheit den Voraussetzungen des Artikels 12 Absatz 1 in Verbindung mit Artikel 9 Absatz 1 des HNS-Übereinkommens 2010 vom 30. April 2010 (BGBl. 2021 II S. 670, 671) entspricht,</w:t>
      </w:r>
    </w:p>
    <w:p>
      <w:pPr>
        <w:ind w:left="780"/>
      </w:pPr>
      <w:r>
        <w:t xml:space="preserve">b) eine vorzeitige Beendigung oder Änderung, die dazu führt, dass die Versicherung oder sonstige finanzielle Sicherheit den Voraussetzungen des Artikels 12 Absatz 1 in Verbindung mit Artikel 9 Absatz 1 des HNS-Übereinkommens 2010 nicht mehr genügt, Dritten gegenüber erst drei Monate nach Anzeige der Beendigung oder Änderungen an das Bundesamt für Seeschifffahrt und Hydrographie wirksam wird,</w:t>
      </w:r>
    </w:p>
    <w:p>
      <w:pPr>
        <w:ind w:left="420"/>
      </w:pPr>
      <w:r>
        <w:t xml:space="preserve">2. für Schiffe, die nicht zur Führung der Bundesflagge berechtigt sind, die Angabe einer zustellungsbevollmächtigten Person mit ständigem Wohnsitz im Bundesgebiet und eine schriftliche oder elektronische Vollmacht des Eigentümers für diese Person.</w:t>
      </w:r>
    </w:p>
    <w:p>
      <w:r>
        <w:rPr>
          <w:color w:val="555555"/>
          <w:sz w:val="17"/>
        </w:rPr>
        <w:t xml:space="preserve">Zitiervorschlag: § 2 HNSPflichtVersBeschV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https://recht.nulegal.eu/gesetze/HNSPflichtVersBeschV/2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