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HNSG — Verordnungsermächtigung</w:t>
      </w:r>
    </w:p>
    <w:p>
      <w:r>
        <w:rPr>
          <w:color w:val="555555"/>
          <w:sz w:val="18"/>
        </w:rPr>
        <w:t xml:space="preserve">HNS-Gesetz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Das Bundesministerium für Verkehr und digitale Infrastruktur erlässt durch Rechtsverordnung Bestimmungen über</w:t>
      </w:r>
    </w:p>
    <w:p>
      <w:pPr>
        <w:ind w:left="420"/>
      </w:pPr>
      <w:r>
        <w:t xml:space="preserve">1. die Voraussetzungen für die Ausstellung, Gültigkeit und Einziehung der HNS-Pflichtversicherungsbescheinigung,</w:t>
      </w:r>
    </w:p>
    <w:p>
      <w:pPr>
        <w:ind w:left="420"/>
      </w:pPr>
      <w:r>
        <w:t xml:space="preserve">2. das Verfahren bei der Ausstellung und Einziehung der HNS-Pflichtversicherungsbescheinigung,</w:t>
      </w:r>
    </w:p>
    <w:p>
      <w:pPr>
        <w:ind w:left="420"/>
      </w:pPr>
      <w:r>
        <w:t xml:space="preserve">3. die gebührenpflichtigen Tatbestände für individuell zurechenbare öffentliche Leistungen aufgrund dieses Gesetzes oder einer Rechtsverordnung nach den Nummern 1 und 2, die Gebührensätze sowie die Auslagenerstattung.</w:t>
      </w:r>
    </w:p>
    <w:p>
      <w:r>
        <w:t xml:space="preserve">In einer Rechtsverordnung nach Satz 1 Nummer 2 können insbesondere die Mitteilungspflichten des Eigentümers eines Schiffes im Verfahren der Ausstellung der HNS-Pflichtversicherungsbescheinigung, auch hinsichtlich nach Ausstellung eintretender Umstände, und im Verfahren der Einziehung der HNS-Pflichtversicherungsbescheinigung geregelt werden.</w:t>
      </w:r>
    </w:p>
    <w:p>
      <w:r>
        <w:rPr>
          <w:color w:val="555555"/>
          <w:sz w:val="17"/>
        </w:rPr>
        <w:t xml:space="preserve">Zitiervorschlag: § 3 HNSG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