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HNSG — Bescheinigung über eine Versicherung oder sonstige finanzielle Sicherheit</w:t>
      </w:r>
    </w:p>
    <w:p>
      <w:r>
        <w:rPr>
          <w:color w:val="555555"/>
          <w:sz w:val="18"/>
        </w:rPr>
        <w:t xml:space="preserve">HNS-Gesetz</w:t>
      </w:r>
    </w:p>
    <w:p>
      <w:r>
        <w:rPr>
          <w:color w:val="555555"/>
          <w:sz w:val="18"/>
        </w:rPr>
        <w:t xml:space="preserve">Stand: 28.07.2021 (konsolidierte Textfassung, kein amtliches Inkrafttretensdatum)</w:t>
      </w:r>
    </w:p>
    <w:p>
      <w:r>
        <w:t xml:space="preserve">(1) Das Bestehen der nach Artikel 12 Absatz 1 des HNS-Übereinkommens 2010, auch in Verbindung mit § 1 Absatz 3, vorgeschriebenen Versicherung oder sonstigen finanziellen Sicherheit wird durch eine von der nach Artikel 12 Absatz 2 Satz 2 des HNS-Übereinkommens 2010 zuständigen Behörde eines Vertragsstaats ausgestellte oder bestätigte Bescheinigung (HNS-Pflichtversicherungsbescheinigung) nachgewiesen.</w:t>
      </w:r>
    </w:p>
    <w:p>
      <w:r>
        <w:t xml:space="preserve">(2) Dem Eigentümer eines Schiffes, das die Bundesflagge führt, hat die zuständige Behörde auf Antrag die HNS-Pflichtversicherungsbescheinigung auszustellen, wenn</w:t>
      </w:r>
    </w:p>
    <w:p>
      <w:pPr>
        <w:ind w:left="420"/>
      </w:pPr>
      <w:r>
        <w:t xml:space="preserve">1. er nachweist, dass eine entsprechende Versicherung oder sonstige finanzielle Sicherheit besteht, und</w:t>
      </w:r>
    </w:p>
    <w:p>
      <w:pPr>
        <w:ind w:left="420"/>
      </w:pPr>
      <w:r>
        <w:t xml:space="preserve">2. kein begründeter Anlass für die Annahme gegeben ist, dass der Sicherheitsgeber nicht in der Lage sein wird, seine Verpflichtungen zu erfüllen.</w:t>
      </w:r>
    </w:p>
    <w:p>
      <w:r>
        <w:t xml:space="preserve">(3) Dem Eigentümer eines Schiffes, das nicht die Bundesflagge führt, kann die zuständige Behörde die HNS-Pflichtversicherungsbescheinigung auf Antrag ausstellen, wenn die Voraussetzungen des Absatzes 2 vorliegen.</w:t>
      </w:r>
    </w:p>
    <w:p>
      <w:r>
        <w:rPr>
          <w:color w:val="555555"/>
          <w:sz w:val="17"/>
        </w:rPr>
        <w:t xml:space="preserve">Zitiervorschlag: § 2 HNSG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