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HNSG — Bußgeldvorschriften</w:t>
      </w:r>
    </w:p>
    <w:p>
      <w:r>
        <w:rPr>
          <w:color w:val="555555"/>
          <w:sz w:val="18"/>
        </w:rPr>
        <w:t xml:space="preserve">HNS-Gesetz</w:t>
      </w:r>
    </w:p>
    <w:p>
      <w:r>
        <w:rPr>
          <w:color w:val="555555"/>
          <w:sz w:val="18"/>
        </w:rPr>
        <w:t xml:space="preserve">Stand: 28.07.2021 (konsolidierte Textfassung, kein amtliches Inkrafttretensdatum)</w:t>
      </w:r>
    </w:p>
    <w:p>
      <w:r>
        <w:t xml:space="preserve">(1) Ordnungswidrig handelt, wer vorsätzlich oder fahrlässig</w:t>
      </w:r>
    </w:p>
    <w:p>
      <w:pPr>
        <w:ind w:left="420"/>
      </w:pPr>
      <w:r>
        <w:t xml:space="preserve">1. einer Rechtsverordnung nach § 3 Satz 2 oder einer vollziehbaren Anordnung aufgrund einer solchen Rechtsverordnung zuwiderhandelt, soweit die Rechtsverordnung für einen bestimmten Tatbestand auf diese Bußgeldvorschrift verweist,</w:t>
      </w:r>
    </w:p>
    <w:p>
      <w:pPr>
        <w:ind w:left="420"/>
      </w:pPr>
      <w:r>
        <w:t xml:space="preserve">2. entgegen § 4 Satz 1, auch in Verbindung mit § 4 Satz 3, nicht sicherstellt, dass eine dort genannte Bescheinigung an Bord mitgeführt wird,</w:t>
      </w:r>
    </w:p>
    <w:p>
      <w:pPr>
        <w:ind w:left="420"/>
      </w:pPr>
      <w:r>
        <w:t xml:space="preserve">3. entgegen § 4 Satz 2, auch in Verbindung mit § 4 Satz 3, eine dort genannte Bescheinigung nicht mitführt oder nicht oder nicht rechtzeitig vorweist oder</w:t>
      </w:r>
    </w:p>
    <w:p>
      <w:pPr>
        <w:ind w:left="420"/>
      </w:pPr>
      <w:r>
        <w:t xml:space="preserve">4. entgegen § 7 Absatz 2 Satz 1 in Verbindung mit einer Rechtsverordnung nach § 8 Absatz 2 eine dort genannte Angabe nicht, nicht richtig, nicht vollständig oder nicht rechtzeitig macht.</w:t>
      </w:r>
    </w:p>
    <w:p>
      <w:r>
        <w:t xml:space="preserve">(2) Die Ordnungswidrigkeit kann in den Fällen des Absatzes 1 Nummer 1 mit einer Geldbuße bis zu dreißigtausend Euro, in den übrigen Fällen des Absatzes 1 Nummer 2 bis 4 mit einer Geldbuße bis zu zehntausend Euro geahndet werden.</w:t>
      </w:r>
    </w:p>
    <w:p>
      <w:r>
        <w:t xml:space="preserve">(3) Verwaltungsbehörde im Sinne des § 36 Absatz 1 Nummer 1 des Gesetzes über Ordnungswidrigkeiten ist</w:t>
      </w:r>
    </w:p>
    <w:p>
      <w:pPr>
        <w:ind w:left="420"/>
      </w:pPr>
      <w:r>
        <w:t xml:space="preserve">1. in den Fällen des Absatzes 1 Nummer 1 bis 3 das Bundesamt für Seeschifffahrt und Hydrographie und</w:t>
      </w:r>
    </w:p>
    <w:p>
      <w:pPr>
        <w:ind w:left="420"/>
      </w:pPr>
      <w:r>
        <w:t xml:space="preserve">2. in den Fällen des Absatzes 1 Nummer 4 das Bundesamt für Wirtschaft und Ausfuhrkontrolle.</w:t>
      </w:r>
    </w:p>
    <w:p>
      <w:r>
        <w:rPr>
          <w:color w:val="555555"/>
          <w:sz w:val="17"/>
        </w:rPr>
        <w:t xml:space="preserve">Zitiervorschlag: § 12 HNSG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https://recht.nulegal.eu/gesetze/HNSG/12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