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HNS-MittV — Mindestgesamtmengen mitteilungspflichtiger Ladung</w:t>
      </w:r>
    </w:p>
    <w:p>
      <w:r>
        <w:rPr>
          <w:color w:val="555555"/>
          <w:sz w:val="18"/>
        </w:rPr>
        <w:t xml:space="preserve">HNS-Mitteilungsverordnung</w:t>
      </w:r>
    </w:p>
    <w:p>
      <w:r>
        <w:rPr>
          <w:color w:val="555555"/>
          <w:sz w:val="18"/>
        </w:rPr>
        <w:t xml:space="preserve">Stand: 15.07.2025 (konsolidierte Textfassung, kein amtliches Inkrafttretensdatum)</w:t>
      </w:r>
    </w:p>
    <w:p>
      <w:r>
        <w:t xml:space="preserve">(1) Die Angabe nach § 3 Absatz 1 Nummer 3 muss nicht mitgeteilt werden, wenn</w:t>
      </w:r>
    </w:p>
    <w:p>
      <w:pPr>
        <w:ind w:left="420"/>
      </w:pPr>
      <w:r>
        <w:t xml:space="preserve">1. die von einer mitteilungspflichtigen Person, die keine assoziierte Person ist, empfangene Gesamtmenge der mitteilungspflichtigen Ladung 150 000 Tonnen nicht übersteigt oder</w:t>
      </w:r>
    </w:p>
    <w:p>
      <w:pPr>
        <w:ind w:left="420"/>
      </w:pPr>
      <w:r>
        <w:t xml:space="preserve">2. die von allen assoziierten mitteilungspflichtigen Personen insgesamt empfangene Gesamtmenge der mitteilungspflichtigen Ladung 150 000 Tonnen nicht übersteigt.</w:t>
      </w:r>
    </w:p>
    <w:p>
      <w:r>
        <w:t xml:space="preserve">(2) Die Angabe nach § 3 Absatz 1 Nummer 5 Buchstabe a, b oder c muss in Bezug auf die dort jeweils genannte Art mitteilungspflichtiger Ladung nicht mitgeteilt werden, wenn</w:t>
      </w:r>
    </w:p>
    <w:p>
      <w:pPr>
        <w:ind w:left="420"/>
      </w:pPr>
      <w:r>
        <w:t xml:space="preserve">1. die von einer mitteilungspflichtigen Person, die keine assoziierte Person ist, empfangene Gesamtmenge der jeweiligen Art mitteilungspflichtiger Ladung 15 000 Tonnen nicht übersteigt oder</w:t>
      </w:r>
    </w:p>
    <w:p>
      <w:pPr>
        <w:ind w:left="420"/>
      </w:pPr>
      <w:r>
        <w:t xml:space="preserve">2. die von allen assoziierten mitteilungspflichtigen Personen insgesamt empfangene Gesamtmenge der jeweiligen Art mitteilungspflichtiger Ladung 15 000 Tonnen nicht übersteigt.</w:t>
      </w:r>
    </w:p>
    <w:p>
      <w:r>
        <w:rPr>
          <w:color w:val="555555"/>
          <w:sz w:val="17"/>
        </w:rPr>
        <w:t xml:space="preserve">Zitiervorschlag: § 4 HNS-MittV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https://recht.nulegal.eu/gesetze/HNS-MittV/4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