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HNS-MittV — Zuständige Behörde</w:t>
      </w:r>
    </w:p>
    <w:p>
      <w:r>
        <w:rPr>
          <w:color w:val="555555"/>
          <w:sz w:val="18"/>
        </w:rPr>
        <w:t xml:space="preserve">HNS-Mitteilungsverordnung</w:t>
      </w:r>
    </w:p>
    <w:p>
      <w:r>
        <w:rPr>
          <w:color w:val="555555"/>
          <w:sz w:val="18"/>
        </w:rPr>
        <w:t xml:space="preserve">Stand: 15.07.2025 (konsolidierte Textfassung, kein amtliches Inkrafttretensdatum)</w:t>
      </w:r>
    </w:p>
    <w:p>
      <w:r>
        <w:t xml:space="preserve">Die Wahrnehmung der Aufgaben nach § 7 Absatz 1 bis 3 des HNS-Gesetzes überträgt das Bundesministerium für Wirtschaft und Energie dem Bundesamt für Wirtschaft und Ausfuhrkontrolle.</w:t>
      </w:r>
    </w:p>
    <w:p>
      <w:r>
        <w:rPr>
          <w:color w:val="555555"/>
          <w:sz w:val="17"/>
        </w:rPr>
        <w:t xml:space="preserve">Zitiervorschlag: § 1 HNS-MittV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https://recht.nulegal.eu/gesetze/HNS-MittV/1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