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HNEEStrV (Brandenburg) — Aufgaben der Departments und Schools</w:t>
      </w:r>
    </w:p>
    <w:p>
      <w:r>
        <w:rPr>
          <w:color w:val="555555"/>
          <w:sz w:val="18"/>
        </w:rPr>
        <w:t xml:space="preserve">HNEE Strukturverordnung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Zugelassen ist, Departments die Aufgaben einer organisatorischen Grundeinheit mit Ausnahme der Lehre zu übertragen.</w:t>
      </w:r>
    </w:p>
    <w:p>
      <w:r>
        <w:t xml:space="preserve">(2) Zugelassen ist, einer Undergraduate School die Aufgaben einer organisatorischen Grundeinheit im Zusammenhang mit Studiengängen, die zum Erwerb eines Bachelor grades führen, zu übertragen.</w:t>
      </w:r>
    </w:p>
    <w:p>
      <w:r>
        <w:t xml:space="preserve">(3) Zugelassen ist, einer Graduate School folgende Aufgaben zu übertragen:</w:t>
      </w:r>
    </w:p>
    <w:p>
      <w:r>
        <w:t xml:space="preserve">die Aufgaben einer organisatorischen Grundeinheit im Zusammenhang mit Studiengängen, die zum Erwerb eines Mastergrades führen,</w:t>
      </w:r>
    </w:p>
    <w:p>
      <w:r>
        <w:t xml:space="preserve">die Aufgaben in der wissenschaftlichen Weiterbildung und</w:t>
      </w:r>
    </w:p>
    <w:p>
      <w:r>
        <w:t xml:space="preserve">die Aufgaben in Promotionsangelegenheiten, soweit diese nicht den wissenschaftlichen Einrichtungen oder dem Promotionskolleg der Fachhochschulen gemäß § 33 des Brandenburgischen Hochschulgesetzes übertragen sind.</w:t>
      </w:r>
    </w:p>
    <w:p>
      <w:r>
        <w:rPr>
          <w:color w:val="555555"/>
          <w:sz w:val="17"/>
        </w:rPr>
        <w:t xml:space="preserve">Zitiervorschlag: § 2 HNEEStrV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https://recht.nulegal.eu/gesetze/HNEEStrV/2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