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HNDV (Bayern) — Verpflichtung Dritter zur Teilnahme am Hochwassernachrichtendienst</w:t>
      </w:r>
    </w:p>
    <w:p>
      <w:r>
        <w:rPr>
          <w:color w:val="555555"/>
          <w:sz w:val="18"/>
        </w:rPr>
        <w:t xml:space="preserve">Verordnung über den Hochwassernachrichtendienst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Unternehmer von Wasserbenutzungsanlagen und sonstigen Anlagen in oder an Gewässern können durch die nach Art. 63 Abs. 1 BayWG zuständige Behörde verpflichtet werden, mit ihren Bediensteten und ihren dafür geeigneten Sachmitteln im Hochwassernachrichtendienst mitzuwirken. Ihre Verpflichtungen bestimmen sich, soweit im Verpflichtungsbescheid keine Regelungen getroffen wurden, nach § 9 und dem Hochwassernachrichtenplan.</w:t>
      </w:r>
    </w:p>
    <w:p>
      <w:r>
        <w:t xml:space="preserve">(2) Bürgerlich-rechtliche Vereinbarungen und Verpflichtungen auf Grund anderer öffentlich-rechtlicher Vorschriften zur Teilnahme am Hochwassernachrichtendienst bleiben davon unberührt.</w:t>
      </w:r>
    </w:p>
    <w:p>
      <w:r>
        <w:rPr>
          <w:color w:val="555555"/>
          <w:sz w:val="17"/>
        </w:rPr>
        <w:t xml:space="preserve">Zitiervorschlag: § 8 HNDV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https://recht.nulegal.eu/gesetze/HNDV/8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