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HNDV (Bayern) — Empfänger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Empfänger für Hochwasserwarnungen sind die Gemeinden. Unternehmer von besonders gefährdeten Anlagen können als Empfänger in Hochwassernachrichtenplänen aufgeführt werden, wenn an der Gefahrenabwehr ein öffentliches Interesse besteht.</w:t>
      </w:r>
    </w:p>
    <w:p>
      <w:r>
        <w:t xml:space="preserve">(2) Die am Hochwassernachrichtendienst teilnehmenden Gemeinden haben</w:t>
      </w:r>
    </w:p>
    <w:p>
      <w:r>
        <w:t xml:space="preserve">1. eingegangene Hochwasserwarnungen im betroffenen Gemeindegebiet, insbesondere an Besitzer von gefährdeten Gebäuden und Betreiber von gefährdeten Anlagen, unverzüglich bekannt zu geben,</w:t>
      </w:r>
    </w:p>
    <w:p>
      <w:r>
        <w:t xml:space="preserve">2. für die Bekanntgabe der Warnungen einen Meldeplan aufzustellen und fortzuführen und ihn dem Wasserwirtschaftsamt, kreisangehörige Gemeinden auch dem Landratsamt, zur Kenntnis zu geben.</w:t>
      </w:r>
    </w:p>
    <w:p>
      <w:r>
        <w:rPr>
          <w:color w:val="555555"/>
          <w:sz w:val="17"/>
        </w:rPr>
        <w:t xml:space="preserve">Zitiervorschlag: § 7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