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HNDV (Bayern) — In-Kraft-Treten, Außer-Kraft-Treten</w:t>
      </w:r>
    </w:p>
    <w:p>
      <w:r>
        <w:rPr>
          <w:color w:val="555555"/>
          <w:sz w:val="18"/>
        </w:rPr>
        <w:t xml:space="preserve">Verordnung über den Hochwassernachrichtendienst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Februar 2005 in Kraft.</w:t>
      </w:r>
    </w:p>
    <w:p>
      <w:r>
        <w:t xml:space="preserve">(2) Mit Ablauf des 31. Januar 2005 tritt die Verordnung über den Hochwassernachrichtendienst (HNDV) vom 23. Mai 1990 (GVBl S. 159, BayRS 753-1-8-UG) außer Kraft.</w:t>
      </w:r>
    </w:p>
    <w:p>
      <w:r>
        <w:rPr>
          <w:color w:val="555555"/>
          <w:sz w:val="17"/>
        </w:rPr>
        <w:t xml:space="preserve">Zitiervorschlag: § 13 HNDV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https://recht.nulegal.eu/gesetze/HNDV/13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