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HNDV (Bayern) — Ordnungswidrigkeiten</w:t>
      </w:r>
    </w:p>
    <w:p>
      <w:r>
        <w:rPr>
          <w:color w:val="555555"/>
          <w:sz w:val="18"/>
        </w:rPr>
        <w:t xml:space="preserve">Verordnung über den Hochwassernachrichtendienst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Nach Art. 74 Abs. 1 Nr. 5 Buchst. e BayWG kann mit Geldbuße bis zu fünftausend Euro belegt werden, wer vorsätzlich oder fahrlässig der Meldepflicht nach § 11 nicht nachkommt.</w:t>
      </w:r>
    </w:p>
    <w:p>
      <w:r>
        <w:t xml:space="preserve">(2) Nach Art. 74 Abs. 1 Nr. 5 Buchst. e und Nr. 7 BayWG kann mit Geldbuße bis zu fünftausend Euro belegt werden, wer vorsätzlich oder fahrlässig den in einem vollziehbaren Bescheid nach § 8 Abs. 1 auferlegten Verpflichtungen zuwiderhandelt, sofern der Bescheid ausdrücklich auf diese Bußgeldvorschrift verweist.</w:t>
      </w:r>
    </w:p>
    <w:p>
      <w:r>
        <w:rPr>
          <w:color w:val="555555"/>
          <w:sz w:val="17"/>
        </w:rPr>
        <w:t xml:space="preserve">Zitiervorschlag: § 12 HNDV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https://recht.nulegal.eu/gesetze/HNDV/12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