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HLeistBVO (Nordrhein-Westfalen) — In-Kraft-Treten und Außer-Kraft-Treten</w:t>
      </w:r>
    </w:p>
    <w:p>
      <w:r>
        <w:rPr>
          <w:color w:val="555555"/>
          <w:sz w:val="18"/>
        </w:rPr>
        <w:t xml:space="preserve">Hochschul-Leistungsbezügeverordnung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1. Januar 2005 in Kraft.</w:t>
      </w:r>
    </w:p>
    <w:p>
      <w:r>
        <w:rPr>
          <w:color w:val="555555"/>
          <w:sz w:val="17"/>
        </w:rPr>
        <w:t xml:space="preserve">Zitiervorschlag: § 9 HLeistBVO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https://recht.nulegal.eu/gesetze/HLeistBVO/9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