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HLeistBVO (Nordrhein-Westfalen) — Ruhegehaltfähigkeit</w:t>
      </w:r>
    </w:p>
    <w:p>
      <w:r>
        <w:rPr>
          <w:color w:val="555555"/>
          <w:sz w:val="18"/>
        </w:rPr>
        <w:t xml:space="preserve">Hochschul-Leistungsbezügeverordnung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Entscheidung über die Ruhegehaltfähigkeit befristeter Leistungsbezüge (§ 37 Absatz 1 Satz 3 bis 7 des Landesbesoldungsgesetzes) sowie über die Überschreitung des Vomhundertsatzes gemäß § 37 Absatz 2 des Landesbesoldungsgesetzes gilt § 3 Abs. 2 entsprechend.</w:t>
      </w:r>
    </w:p>
    <w:p>
      <w:r>
        <w:rPr>
          <w:color w:val="555555"/>
          <w:sz w:val="17"/>
        </w:rPr>
        <w:t xml:space="preserve">Zitiervorschlag: § 7 HLeistBVO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https://recht.nulegal.eu/gesetze/HLeistBVO/7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HLeistBVO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