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HLeistBVO (Nordrhein-Westfalen) — Geltungsbereich</w:t>
      </w:r>
    </w:p>
    <w:p>
      <w:r>
        <w:rPr>
          <w:color w:val="555555"/>
          <w:sz w:val="18"/>
        </w:rPr>
        <w:t xml:space="preserve">Hochschul-Leistungsbezügeverordnung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regelt die Zuständigkeit, das Verfahren und die Voraussetzungen und Kriterien für die Vergabe von Leistungsbezügen an Professorinnen und Professoren und für die Vergabe von Leistungsbezügen wegen der Wahrnehmung von Funktionen oder besonderen Aufgaben im Rahmen der Hochschulselbstverwaltung und Hochschulleitung gemäß § 33 des Landesbesoldungsgesetzes vom 14. Juni 2016 (GV. NRW. S. 310, ber. S. 642) in der jeweils geltenden Fassung. Ferner werden Bestimmungen über die Ruhegehaltfähigkeit gemäß § 37 des Landesbesoldungsgesetzes und die Gewährung von Forschungs- und Lehrzulagen gemäß § 62 des Landesbesoldungsgesetzes getroffen. Die Regelungen dieser Verordnung gelten auch für die Hochschuldozentinnen und Hochschuldozenten.</w:t>
      </w:r>
    </w:p>
    <w:p>
      <w:r>
        <w:rPr>
          <w:color w:val="555555"/>
          <w:sz w:val="17"/>
        </w:rPr>
        <w:t xml:space="preserve">Zitiervorschlag: § 1 HLeistBVO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https://recht.nulegal.eu/gesetze/HLeistBVO/1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