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HLeistBV (Brandenburg) — Satzung</w:t>
      </w:r>
    </w:p>
    <w:p>
      <w:r>
        <w:rPr>
          <w:color w:val="555555"/>
          <w:sz w:val="18"/>
        </w:rPr>
        <w:t xml:space="preserve">Hochschulleistungsbezügeverordnung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Hochschulen regeln, soweit die Präsidentin oder der Präsident oder im Fall der Medizinischen Universität Lausitz – Carl Thiem der Wissenschaftliche Vorstand entscheidet, durch Satzung</w:t>
      </w:r>
    </w:p>
    <w:p>
      <w:r>
        <w:t xml:space="preserve">das Verfahren zur Gewährung von Leistungsbezügen und Forschungs- und Lehrzulagen,</w:t>
      </w:r>
    </w:p>
    <w:p>
      <w:r>
        <w:t xml:space="preserve">die Kriterien zur Bemessung der besonderen Leistungen im Sinne des § 3 Absatz 2,</w:t>
      </w:r>
    </w:p>
    <w:p>
      <w:r>
        <w:t xml:space="preserve">das Nähere zu den Funktions-Leistungsbezügen nach § 5 sowie</w:t>
      </w:r>
    </w:p>
    <w:p>
      <w:r>
        <w:t xml:space="preserve">das Verfahren für Entscheidungen nach § 7.</w:t>
      </w:r>
    </w:p>
    <w:p>
      <w:r>
        <w:t xml:space="preserve">Die Satzung bedarf der Genehmigung durch die für die Hochschulen zuständige oberste Landesbehörde.</w:t>
      </w:r>
    </w:p>
    <w:p>
      <w:r>
        <w:rPr>
          <w:color w:val="555555"/>
          <w:sz w:val="17"/>
        </w:rPr>
        <w:t xml:space="preserve">Zitiervorschlag: § 9 HLeistBV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https://recht.nulegal.eu/gesetze/HLeistBV/9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