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HKrimDAPrV</w:t>
      </w:r>
    </w:p>
    <w:p>
      <w:r>
        <w:rPr>
          <w:color w:val="555555"/>
          <w:sz w:val="18"/>
        </w:rPr>
        <w:t xml:space="preserve">Verordnung über den Vorbereitungsdienst für den höheren Kriminaldienst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 Absatz 2 Satz 2 des Bundespolizeibeamtengesetzes, der durch Artikel 3 Nummer 2 des Gesetzes vom 29. Juni 1998 (BGBl. I S. 1666) neu gefasst worden ist, verordnet das Bundesministerium des Innern:</w:t>
      </w:r>
    </w:p>
    <w:p>
      <w:r>
        <w:rPr>
          <w:color w:val="555555"/>
          <w:sz w:val="17"/>
        </w:rPr>
        <w:t xml:space="preserve">Zitiervorschlag: Eingangsformel HKrimDAPrV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https://recht.nulegal.eu/gesetze/HKrimDAPrV/eingangsformel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