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HKohlStiftG — Dienstsiegel</w:t>
      </w:r>
    </w:p>
    <w:p>
      <w:r>
        <w:rPr>
          <w:color w:val="555555"/>
          <w:sz w:val="18"/>
        </w:rPr>
        <w:t xml:space="preserve">Gesetz über die Errichtung einer Bundeskanzler-Helmut-Kohl-Stiftung</w:t>
      </w:r>
    </w:p>
    <w:p>
      <w:r>
        <w:rPr>
          <w:color w:val="555555"/>
          <w:sz w:val="18"/>
        </w:rPr>
        <w:t xml:space="preserve">Stand: 09.06.2021 (konsolidierte Textfassung, kein amtliches Inkrafttretensdatum)</w:t>
      </w:r>
    </w:p>
    <w:p>
      <w:r>
        <w:t xml:space="preserve">Die Stiftung führt ein Dienstsiegel.</w:t>
      </w:r>
    </w:p>
    <w:p>
      <w:r>
        <w:rPr>
          <w:color w:val="555555"/>
          <w:sz w:val="17"/>
        </w:rPr>
        <w:t xml:space="preserve">Zitiervorschlag: § 13 HKohlStiftG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https://recht.nulegal.eu/gesetze/HKohlStiftG/13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