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HKohlStiftG — Rechtsform der Stiftung</w:t>
      </w:r>
    </w:p>
    <w:p>
      <w:r>
        <w:rPr>
          <w:color w:val="555555"/>
          <w:sz w:val="18"/>
        </w:rPr>
        <w:t xml:space="preserve">Gesetz über die Errichtung einer Bundeskanzler-Helmut-Kohl-Stiftung</w:t>
      </w:r>
    </w:p>
    <w:p>
      <w:r>
        <w:rPr>
          <w:color w:val="555555"/>
          <w:sz w:val="18"/>
        </w:rPr>
        <w:t xml:space="preserve">Stand: 09.06.2021 (konsolidierte Textfassung, kein amtliches Inkrafttretensdatum)</w:t>
      </w:r>
    </w:p>
    <w:p>
      <w:r>
        <w:t xml:space="preserve">Unter dem Namen „Bundeskanzler-Helmut-Kohl-Stiftung“ wird mit Sitz in Berlin eine rechtsfähige Stiftung des öffentlichen Rechts errichtet. Die Stiftung entsteht mit dem Inkrafttreten dieses Gesetzes.</w:t>
      </w:r>
    </w:p>
    <w:p>
      <w:r>
        <w:rPr>
          <w:color w:val="555555"/>
          <w:sz w:val="17"/>
        </w:rPr>
        <w:t xml:space="preserve">Zitiervorschlag: § 1 HKohlStiftG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https://recht.nulegal.eu/gesetze/HKohlStiftG/1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