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HKlZV (Brandenburg)</w:t>
      </w:r>
    </w:p>
    <w:p>
      <w:r>
        <w:rPr>
          <w:color w:val="555555"/>
          <w:sz w:val="18"/>
        </w:rPr>
        <w:t xml:space="preserve">Verordnung zur Regelung von Zuständigkeiten nach dem Handelsklassengesetz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1998 in</w:t>
      </w:r>
    </w:p>
    <w:p>
      <w:r>
        <w:t xml:space="preserve">Kraft. Gleichzeitig tritt die Verordnung über die Zuständigkeiten</w:t>
      </w:r>
    </w:p>
    <w:p>
      <w:r>
        <w:t xml:space="preserve">nach dem Handelsklassengesetz vom 9. August 1993 (GVBl. II S. 577) außer</w:t>
      </w:r>
    </w:p>
    <w:p>
      <w:r>
        <w:t xml:space="preserve">Kraft.</w:t>
      </w:r>
    </w:p>
    <w:p>
      <w:r>
        <w:t xml:space="preserve">Potsdam, den 24. Februar 1998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3 HKlZV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https://recht.nulegal.eu/gesetze/HKlZV/3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