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HKlZV (Brandenburg)</w:t>
      </w:r>
    </w:p>
    <w:p>
      <w:r>
        <w:rPr>
          <w:color w:val="555555"/>
          <w:sz w:val="18"/>
        </w:rPr>
        <w:t xml:space="preserve">Verordnung zur Regelung von Zuständigkeiten nach dem Handelsklassengesetz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oberste Landesbehörde kann den nach § 1 Abs. 1</w:t>
      </w:r>
    </w:p>
    <w:p>
      <w:r>
        <w:t xml:space="preserve">Nr. 2 zuständigen Behörden allgemeine Weisungen erteilen, um die</w:t>
      </w:r>
    </w:p>
    <w:p>
      <w:r>
        <w:t xml:space="preserve">gleichmäßige Durchführung der Aufgaben zu sichern. Ferner</w:t>
      </w:r>
    </w:p>
    <w:p>
      <w:r>
        <w:t xml:space="preserve">können besondere Weisungen erteilt werden, wenn das Verhalten der</w:t>
      </w:r>
    </w:p>
    <w:p>
      <w:r>
        <w:t xml:space="preserve">zuständigen Behörde zur Erledigung der Pflichtaufgaben zur</w:t>
      </w:r>
    </w:p>
    <w:p>
      <w:r>
        <w:t xml:space="preserve">Erfüllung nach Weisung ungeeignet erscheint oder wenn</w:t>
      </w:r>
    </w:p>
    <w:p>
      <w:r>
        <w:t xml:space="preserve">überörtliche Interessen gefährdet sind.</w:t>
      </w:r>
    </w:p>
    <w:p>
      <w:r>
        <w:rPr>
          <w:color w:val="555555"/>
          <w:sz w:val="17"/>
        </w:rPr>
        <w:t xml:space="preserve">Zitiervorschlag: § 2 HKlZV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https://recht.nulegal.eu/gesetze/HKlZV/2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