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HKapVO (Sachsen) — Entsprechende Anwendung</w:t>
      </w:r>
    </w:p>
    <w:p>
      <w:r>
        <w:rPr>
          <w:color w:val="555555"/>
          <w:sz w:val="18"/>
        </w:rPr>
        <w:t xml:space="preserve">Hochschulkapazitätsverordnung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entsprechend für die Festsetzung von Zulassungszahlen für höhere Fachsemester.</w:t>
      </w:r>
    </w:p>
    <w:p>
      <w:r>
        <w:rPr>
          <w:color w:val="555555"/>
          <w:sz w:val="17"/>
        </w:rPr>
        <w:t xml:space="preserve">Zitiervorschlag: § 20 HKapVO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https://recht.nulegal.eu/gesetze/HKapVO/20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